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D241" w14:textId="5800E40B" w:rsidR="005D078F" w:rsidRPr="000725C2" w:rsidRDefault="00FC76F5" w:rsidP="000725C2">
      <w:pPr>
        <w:spacing w:line="240" w:lineRule="auto"/>
        <w:ind w:left="4956" w:firstLine="708"/>
        <w:jc w:val="center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Warszawa, </w:t>
      </w:r>
      <w:r w:rsidR="00D74B3D" w:rsidRPr="000725C2">
        <w:rPr>
          <w:rFonts w:asciiTheme="minorHAnsi" w:hAnsiTheme="minorHAnsi" w:cstheme="minorHAnsi"/>
          <w:szCs w:val="24"/>
        </w:rPr>
        <w:t>14</w:t>
      </w:r>
      <w:r w:rsidR="005D078F" w:rsidRPr="000725C2">
        <w:rPr>
          <w:rFonts w:asciiTheme="minorHAnsi" w:hAnsiTheme="minorHAnsi" w:cstheme="minorHAnsi"/>
          <w:szCs w:val="24"/>
        </w:rPr>
        <w:t xml:space="preserve"> grudnia 2021 r. </w:t>
      </w:r>
    </w:p>
    <w:p w14:paraId="7A4977A0" w14:textId="4BCDF12A" w:rsidR="005D078F" w:rsidRPr="000725C2" w:rsidRDefault="00FC76F5" w:rsidP="000725C2">
      <w:pPr>
        <w:spacing w:line="240" w:lineRule="auto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L.dz.     </w:t>
      </w:r>
      <w:r w:rsidR="00E25603">
        <w:rPr>
          <w:rFonts w:asciiTheme="minorHAnsi" w:hAnsiTheme="minorHAnsi" w:cstheme="minorHAnsi"/>
          <w:szCs w:val="24"/>
        </w:rPr>
        <w:t>99</w:t>
      </w:r>
      <w:r w:rsidRPr="000725C2">
        <w:rPr>
          <w:rFonts w:asciiTheme="minorHAnsi" w:hAnsiTheme="minorHAnsi" w:cstheme="minorHAnsi"/>
          <w:szCs w:val="24"/>
        </w:rPr>
        <w:t>/NR/2021/</w:t>
      </w:r>
      <w:r w:rsidRPr="000725C2">
        <w:rPr>
          <w:rFonts w:asciiTheme="minorHAnsi" w:hAnsiTheme="minorHAnsi" w:cstheme="minorHAnsi"/>
          <w:szCs w:val="24"/>
        </w:rPr>
        <w:tab/>
      </w:r>
    </w:p>
    <w:p w14:paraId="4BAA9734" w14:textId="54B971DE" w:rsidR="004A00F9" w:rsidRPr="000725C2" w:rsidRDefault="007D4BF7" w:rsidP="000725C2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725C2">
        <w:rPr>
          <w:rFonts w:asciiTheme="minorHAnsi" w:hAnsiTheme="minorHAnsi" w:cstheme="minorHAnsi"/>
          <w:b/>
          <w:szCs w:val="24"/>
        </w:rPr>
        <w:t>Informacja</w:t>
      </w:r>
      <w:r w:rsidR="00FC76F5" w:rsidRPr="000725C2">
        <w:rPr>
          <w:rFonts w:asciiTheme="minorHAnsi" w:hAnsiTheme="minorHAnsi" w:cstheme="minorHAnsi"/>
          <w:b/>
          <w:szCs w:val="24"/>
        </w:rPr>
        <w:t xml:space="preserve"> prasowa </w:t>
      </w:r>
    </w:p>
    <w:p w14:paraId="6E84EF3E" w14:textId="2255CB35" w:rsidR="00FC76F5" w:rsidRPr="000725C2" w:rsidRDefault="00FC76F5" w:rsidP="000725C2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725C2">
        <w:rPr>
          <w:rFonts w:asciiTheme="minorHAnsi" w:hAnsiTheme="minorHAnsi" w:cstheme="minorHAnsi"/>
          <w:b/>
          <w:szCs w:val="24"/>
        </w:rPr>
        <w:t>Jak neutralność klimatyczna zmieni</w:t>
      </w:r>
    </w:p>
    <w:p w14:paraId="0F7AD10A" w14:textId="78A0FB6E" w:rsidR="00FC76F5" w:rsidRPr="000725C2" w:rsidRDefault="00FC76F5" w:rsidP="000725C2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725C2">
        <w:rPr>
          <w:rFonts w:asciiTheme="minorHAnsi" w:hAnsiTheme="minorHAnsi" w:cstheme="minorHAnsi"/>
          <w:b/>
          <w:szCs w:val="24"/>
        </w:rPr>
        <w:t>sektor naftowy w Polsce? Raport Polityki Insight</w:t>
      </w:r>
    </w:p>
    <w:p w14:paraId="5730977D" w14:textId="77777777" w:rsidR="005D078F" w:rsidRPr="000725C2" w:rsidRDefault="005D078F" w:rsidP="000725C2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37EF4795" w14:textId="55BD5062" w:rsidR="00FC76F5" w:rsidRPr="000725C2" w:rsidRDefault="00FC76F5" w:rsidP="000725C2">
      <w:pPr>
        <w:spacing w:line="254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>Transformacja energetyczna Unii Europejskiej przyspiesza. W grudniu 2019 r. przyję</w:t>
      </w:r>
      <w:r w:rsidR="00D74B3D" w:rsidRPr="000725C2">
        <w:rPr>
          <w:rFonts w:asciiTheme="minorHAnsi" w:hAnsiTheme="minorHAnsi" w:cstheme="minorHAnsi"/>
          <w:szCs w:val="24"/>
        </w:rPr>
        <w:t>to</w:t>
      </w:r>
      <w:r w:rsidRPr="000725C2">
        <w:rPr>
          <w:rFonts w:asciiTheme="minorHAnsi" w:hAnsiTheme="minorHAnsi" w:cstheme="minorHAnsi"/>
          <w:szCs w:val="24"/>
        </w:rPr>
        <w:t xml:space="preserve"> cel osiągnięcia neutralności klimatycznej do 2050 r., a </w:t>
      </w:r>
      <w:r w:rsidR="007B1693" w:rsidRPr="000725C2">
        <w:rPr>
          <w:rFonts w:asciiTheme="minorHAnsi" w:hAnsiTheme="minorHAnsi" w:cstheme="minorHAnsi"/>
          <w:szCs w:val="24"/>
        </w:rPr>
        <w:t xml:space="preserve">następnie </w:t>
      </w:r>
      <w:r w:rsidRPr="000725C2">
        <w:rPr>
          <w:rFonts w:asciiTheme="minorHAnsi" w:hAnsiTheme="minorHAnsi" w:cstheme="minorHAnsi"/>
          <w:szCs w:val="24"/>
        </w:rPr>
        <w:t>podnie</w:t>
      </w:r>
      <w:r w:rsidR="007B1693" w:rsidRPr="000725C2">
        <w:rPr>
          <w:rFonts w:asciiTheme="minorHAnsi" w:hAnsiTheme="minorHAnsi" w:cstheme="minorHAnsi"/>
          <w:szCs w:val="24"/>
        </w:rPr>
        <w:t xml:space="preserve">siono </w:t>
      </w:r>
      <w:r w:rsidRPr="000725C2">
        <w:rPr>
          <w:rFonts w:asciiTheme="minorHAnsi" w:hAnsiTheme="minorHAnsi" w:cstheme="minorHAnsi"/>
          <w:szCs w:val="24"/>
        </w:rPr>
        <w:t xml:space="preserve">cele redukcji emisji gazów cieplarnianych na 2030 r. z 40 proc. do 55 proc. </w:t>
      </w:r>
      <w:r w:rsidR="00512C96" w:rsidRPr="000725C2">
        <w:rPr>
          <w:rFonts w:asciiTheme="minorHAnsi" w:hAnsiTheme="minorHAnsi" w:cstheme="minorHAnsi"/>
          <w:szCs w:val="24"/>
        </w:rPr>
        <w:t xml:space="preserve">Komisja Europejska </w:t>
      </w:r>
      <w:r w:rsidRPr="000725C2">
        <w:rPr>
          <w:rFonts w:asciiTheme="minorHAnsi" w:hAnsiTheme="minorHAnsi" w:cstheme="minorHAnsi"/>
          <w:szCs w:val="24"/>
        </w:rPr>
        <w:t>w ramach pakietu „Fit for 55” pokazała, jak planuje to osiągnąć.</w:t>
      </w:r>
      <w:r w:rsidR="00D74B3D" w:rsidRPr="000725C2">
        <w:rPr>
          <w:rFonts w:asciiTheme="minorHAnsi" w:hAnsiTheme="minorHAnsi" w:cstheme="minorHAnsi"/>
          <w:szCs w:val="24"/>
        </w:rPr>
        <w:t xml:space="preserve"> </w:t>
      </w:r>
      <w:r w:rsidRPr="000725C2">
        <w:rPr>
          <w:rFonts w:asciiTheme="minorHAnsi" w:hAnsiTheme="minorHAnsi" w:cstheme="minorHAnsi"/>
          <w:szCs w:val="24"/>
        </w:rPr>
        <w:t>W centrum tej pr</w:t>
      </w:r>
      <w:r w:rsidR="00512C96" w:rsidRPr="000725C2">
        <w:rPr>
          <w:rFonts w:asciiTheme="minorHAnsi" w:hAnsiTheme="minorHAnsi" w:cstheme="minorHAnsi"/>
          <w:szCs w:val="24"/>
        </w:rPr>
        <w:t xml:space="preserve">opozycji znalazł się transport. </w:t>
      </w:r>
      <w:r w:rsidRPr="000725C2">
        <w:rPr>
          <w:rFonts w:asciiTheme="minorHAnsi" w:hAnsiTheme="minorHAnsi" w:cstheme="minorHAnsi"/>
          <w:szCs w:val="24"/>
        </w:rPr>
        <w:t>Bez jego dekarbonizacji osiągnięcie przez UE neutralności klimatycznej będzie niemożliwe, dlatego Komisja zaproponowała radykalne kroki – zwiększenie kosztów emisji CO2 w transporcie poprzez objęcie sektora nowym systemem handlu emisjami i wyeliminowanie od 203</w:t>
      </w:r>
      <w:r w:rsidR="00E25603">
        <w:rPr>
          <w:rFonts w:asciiTheme="minorHAnsi" w:hAnsiTheme="minorHAnsi" w:cstheme="minorHAnsi"/>
          <w:szCs w:val="24"/>
        </w:rPr>
        <w:t>5 r. sprzedaży aut spalinowych; p</w:t>
      </w:r>
      <w:r w:rsidRPr="000725C2">
        <w:rPr>
          <w:rFonts w:asciiTheme="minorHAnsi" w:hAnsiTheme="minorHAnsi" w:cstheme="minorHAnsi"/>
          <w:szCs w:val="24"/>
        </w:rPr>
        <w:t xml:space="preserve">rzez najbliższe 2 lata </w:t>
      </w:r>
      <w:r w:rsidR="00D61E55" w:rsidRPr="000725C2">
        <w:rPr>
          <w:rFonts w:asciiTheme="minorHAnsi" w:hAnsiTheme="minorHAnsi" w:cstheme="minorHAnsi"/>
          <w:szCs w:val="24"/>
        </w:rPr>
        <w:t xml:space="preserve">pakiet </w:t>
      </w:r>
      <w:r w:rsidRPr="000725C2">
        <w:rPr>
          <w:rFonts w:asciiTheme="minorHAnsi" w:hAnsiTheme="minorHAnsi" w:cstheme="minorHAnsi"/>
          <w:szCs w:val="24"/>
        </w:rPr>
        <w:t>będ</w:t>
      </w:r>
      <w:r w:rsidR="00D61E55" w:rsidRPr="000725C2">
        <w:rPr>
          <w:rFonts w:asciiTheme="minorHAnsi" w:hAnsiTheme="minorHAnsi" w:cstheme="minorHAnsi"/>
          <w:szCs w:val="24"/>
        </w:rPr>
        <w:t>zie</w:t>
      </w:r>
      <w:r w:rsidRPr="000725C2">
        <w:rPr>
          <w:rFonts w:asciiTheme="minorHAnsi" w:hAnsiTheme="minorHAnsi" w:cstheme="minorHAnsi"/>
          <w:szCs w:val="24"/>
        </w:rPr>
        <w:t xml:space="preserve"> </w:t>
      </w:r>
      <w:r w:rsidR="00512C96" w:rsidRPr="000725C2">
        <w:rPr>
          <w:rFonts w:asciiTheme="minorHAnsi" w:hAnsiTheme="minorHAnsi" w:cstheme="minorHAnsi"/>
          <w:szCs w:val="24"/>
        </w:rPr>
        <w:t>przedmiotem trudnych negocjacji.</w:t>
      </w:r>
    </w:p>
    <w:p w14:paraId="1387D5E8" w14:textId="079B7AD9" w:rsidR="00512C96" w:rsidRPr="000725C2" w:rsidRDefault="00512C96" w:rsidP="000725C2">
      <w:pPr>
        <w:spacing w:line="254" w:lineRule="auto"/>
        <w:ind w:firstLine="708"/>
        <w:jc w:val="both"/>
        <w:rPr>
          <w:rFonts w:asciiTheme="minorHAnsi" w:hAnsiTheme="minorHAnsi" w:cstheme="minorHAnsi"/>
        </w:rPr>
      </w:pPr>
      <w:r w:rsidRPr="000725C2">
        <w:rPr>
          <w:rFonts w:asciiTheme="minorHAnsi" w:hAnsiTheme="minorHAnsi" w:cstheme="minorHAnsi"/>
          <w:szCs w:val="24"/>
        </w:rPr>
        <w:t>R</w:t>
      </w:r>
      <w:r w:rsidR="00FC76F5" w:rsidRPr="000725C2">
        <w:rPr>
          <w:rFonts w:asciiTheme="minorHAnsi" w:hAnsiTheme="minorHAnsi" w:cstheme="minorHAnsi"/>
          <w:szCs w:val="24"/>
        </w:rPr>
        <w:t xml:space="preserve">aport </w:t>
      </w:r>
      <w:r w:rsidRPr="000725C2">
        <w:rPr>
          <w:rFonts w:asciiTheme="minorHAnsi" w:hAnsiTheme="minorHAnsi" w:cstheme="minorHAnsi"/>
          <w:szCs w:val="24"/>
        </w:rPr>
        <w:t xml:space="preserve">Polityki Insight, </w:t>
      </w:r>
      <w:r w:rsidR="007D29C8" w:rsidRPr="000725C2">
        <w:rPr>
          <w:rFonts w:asciiTheme="minorHAnsi" w:hAnsiTheme="minorHAnsi" w:cstheme="minorHAnsi"/>
          <w:szCs w:val="24"/>
        </w:rPr>
        <w:t xml:space="preserve">na zlecenie </w:t>
      </w:r>
      <w:r w:rsidRPr="000725C2">
        <w:rPr>
          <w:rFonts w:asciiTheme="minorHAnsi" w:hAnsiTheme="minorHAnsi" w:cstheme="minorHAnsi"/>
          <w:szCs w:val="24"/>
        </w:rPr>
        <w:t>Polsk</w:t>
      </w:r>
      <w:r w:rsidR="007D29C8" w:rsidRPr="000725C2">
        <w:rPr>
          <w:rFonts w:asciiTheme="minorHAnsi" w:hAnsiTheme="minorHAnsi" w:cstheme="minorHAnsi"/>
          <w:szCs w:val="24"/>
        </w:rPr>
        <w:t>iej</w:t>
      </w:r>
      <w:r w:rsidRPr="000725C2">
        <w:rPr>
          <w:rFonts w:asciiTheme="minorHAnsi" w:hAnsiTheme="minorHAnsi" w:cstheme="minorHAnsi"/>
          <w:szCs w:val="24"/>
        </w:rPr>
        <w:t xml:space="preserve"> Organizacj</w:t>
      </w:r>
      <w:r w:rsidR="007D29C8" w:rsidRPr="000725C2">
        <w:rPr>
          <w:rFonts w:asciiTheme="minorHAnsi" w:hAnsiTheme="minorHAnsi" w:cstheme="minorHAnsi"/>
          <w:szCs w:val="24"/>
        </w:rPr>
        <w:t>i</w:t>
      </w:r>
      <w:r w:rsidRPr="000725C2">
        <w:rPr>
          <w:rFonts w:asciiTheme="minorHAnsi" w:hAnsiTheme="minorHAnsi" w:cstheme="minorHAnsi"/>
          <w:szCs w:val="24"/>
        </w:rPr>
        <w:t xml:space="preserve"> Przemysłu i Handlu Naftowego, </w:t>
      </w:r>
      <w:r w:rsidR="00CF47EB" w:rsidRPr="000725C2">
        <w:rPr>
          <w:rFonts w:asciiTheme="minorHAnsi" w:hAnsiTheme="minorHAnsi" w:cstheme="minorHAnsi"/>
          <w:szCs w:val="24"/>
        </w:rPr>
        <w:t xml:space="preserve">pokazuje, że przed nami czas ciężkiej pracy. </w:t>
      </w:r>
      <w:r w:rsidR="00DC39AB" w:rsidRPr="000725C2">
        <w:rPr>
          <w:rFonts w:asciiTheme="minorHAnsi" w:hAnsiTheme="minorHAnsi" w:cstheme="minorHAnsi"/>
          <w:szCs w:val="24"/>
        </w:rPr>
        <w:t xml:space="preserve">Trudno jednoznacznie </w:t>
      </w:r>
      <w:r w:rsidR="00FC76F5" w:rsidRPr="000725C2">
        <w:rPr>
          <w:rFonts w:asciiTheme="minorHAnsi" w:hAnsiTheme="minorHAnsi" w:cstheme="minorHAnsi"/>
          <w:szCs w:val="24"/>
        </w:rPr>
        <w:t>odpowied</w:t>
      </w:r>
      <w:r w:rsidR="00DC39AB" w:rsidRPr="000725C2">
        <w:rPr>
          <w:rFonts w:asciiTheme="minorHAnsi" w:hAnsiTheme="minorHAnsi" w:cstheme="minorHAnsi"/>
          <w:szCs w:val="24"/>
        </w:rPr>
        <w:t>zieć</w:t>
      </w:r>
      <w:r w:rsidR="00FC76F5" w:rsidRPr="000725C2">
        <w:rPr>
          <w:rFonts w:asciiTheme="minorHAnsi" w:hAnsiTheme="minorHAnsi" w:cstheme="minorHAnsi"/>
          <w:szCs w:val="24"/>
        </w:rPr>
        <w:t xml:space="preserve"> na pytanie,</w:t>
      </w:r>
      <w:r w:rsidR="00E25603">
        <w:rPr>
          <w:rFonts w:asciiTheme="minorHAnsi" w:hAnsiTheme="minorHAnsi" w:cstheme="minorHAnsi"/>
          <w:szCs w:val="24"/>
        </w:rPr>
        <w:br/>
      </w:r>
      <w:r w:rsidR="00FC76F5" w:rsidRPr="000725C2">
        <w:rPr>
          <w:rFonts w:asciiTheme="minorHAnsi" w:hAnsiTheme="minorHAnsi" w:cstheme="minorHAnsi"/>
          <w:szCs w:val="24"/>
        </w:rPr>
        <w:t>jak może wyglądać ta przemiana przy uwzględnieniu najnowszych propozycji KE</w:t>
      </w:r>
      <w:r w:rsidR="00850AE8" w:rsidRPr="000725C2">
        <w:rPr>
          <w:rFonts w:asciiTheme="minorHAnsi" w:hAnsiTheme="minorHAnsi" w:cstheme="minorHAnsi"/>
          <w:szCs w:val="24"/>
        </w:rPr>
        <w:t>.</w:t>
      </w:r>
      <w:r w:rsidR="00FC76F5" w:rsidRPr="000725C2">
        <w:rPr>
          <w:rFonts w:asciiTheme="minorHAnsi" w:hAnsiTheme="minorHAnsi" w:cstheme="minorHAnsi"/>
          <w:szCs w:val="24"/>
        </w:rPr>
        <w:t xml:space="preserve"> </w:t>
      </w:r>
      <w:r w:rsidR="00850AE8" w:rsidRPr="000725C2">
        <w:rPr>
          <w:rFonts w:asciiTheme="minorHAnsi" w:hAnsiTheme="minorHAnsi" w:cstheme="minorHAnsi"/>
          <w:szCs w:val="24"/>
        </w:rPr>
        <w:t xml:space="preserve">PI opracowała </w:t>
      </w:r>
      <w:r w:rsidRPr="000725C2">
        <w:rPr>
          <w:rFonts w:asciiTheme="minorHAnsi" w:hAnsiTheme="minorHAnsi" w:cstheme="minorHAnsi"/>
        </w:rPr>
        <w:t>trzy scenariusze ewolucji popytu na paliwa płynne w Polsce do 2050 r., odpowiadające różnemu tempu transformacji: powolnemu, umiarkowanemu i szybkiemu:</w:t>
      </w:r>
    </w:p>
    <w:p w14:paraId="1C270441" w14:textId="4DA305DF" w:rsidR="00464B98" w:rsidRPr="000725C2" w:rsidRDefault="00512C96" w:rsidP="000725C2">
      <w:pPr>
        <w:spacing w:line="254" w:lineRule="auto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>SCENARIUSZ I zakłada niewypełnienie celów klimatycznych UE do 2030 i 2050 r.;</w:t>
      </w:r>
    </w:p>
    <w:p w14:paraId="10275A15" w14:textId="21BD6D48" w:rsidR="00512C96" w:rsidRPr="000725C2" w:rsidRDefault="00512C96" w:rsidP="000725C2">
      <w:pPr>
        <w:spacing w:line="254" w:lineRule="auto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SCENARIUSZ II </w:t>
      </w:r>
      <w:r w:rsidR="00B82506" w:rsidRPr="000725C2">
        <w:rPr>
          <w:rFonts w:asciiTheme="minorHAnsi" w:hAnsiTheme="minorHAnsi" w:cstheme="minorHAnsi"/>
          <w:szCs w:val="24"/>
        </w:rPr>
        <w:t xml:space="preserve">zakłada realizacje </w:t>
      </w:r>
      <w:r w:rsidRPr="000725C2">
        <w:rPr>
          <w:rFonts w:asciiTheme="minorHAnsi" w:hAnsiTheme="minorHAnsi" w:cstheme="minorHAnsi"/>
          <w:szCs w:val="24"/>
        </w:rPr>
        <w:t xml:space="preserve">pakietu i osiągnięcie neutralności </w:t>
      </w:r>
      <w:r w:rsidR="003B329B" w:rsidRPr="000725C2">
        <w:rPr>
          <w:rFonts w:asciiTheme="minorHAnsi" w:hAnsiTheme="minorHAnsi" w:cstheme="minorHAnsi"/>
          <w:szCs w:val="24"/>
        </w:rPr>
        <w:t xml:space="preserve">klimatycznej </w:t>
      </w:r>
      <w:r w:rsidRPr="000725C2">
        <w:rPr>
          <w:rFonts w:asciiTheme="minorHAnsi" w:hAnsiTheme="minorHAnsi" w:cstheme="minorHAnsi"/>
          <w:szCs w:val="24"/>
        </w:rPr>
        <w:t>do 2050</w:t>
      </w:r>
      <w:r w:rsidR="00464B98" w:rsidRPr="000725C2">
        <w:rPr>
          <w:rFonts w:asciiTheme="minorHAnsi" w:hAnsiTheme="minorHAnsi" w:cstheme="minorHAnsi"/>
          <w:szCs w:val="24"/>
        </w:rPr>
        <w:t> </w:t>
      </w:r>
      <w:r w:rsidRPr="000725C2">
        <w:rPr>
          <w:rFonts w:asciiTheme="minorHAnsi" w:hAnsiTheme="minorHAnsi" w:cstheme="minorHAnsi"/>
          <w:szCs w:val="24"/>
        </w:rPr>
        <w:t>r.;</w:t>
      </w:r>
    </w:p>
    <w:p w14:paraId="50B79572" w14:textId="1907C124" w:rsidR="00512C96" w:rsidRPr="000725C2" w:rsidRDefault="00512C96" w:rsidP="000725C2">
      <w:pPr>
        <w:spacing w:line="254" w:lineRule="auto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>SCENARIUSZ III – to osiągnięcie neutralności jeszcze przed 2050 r.</w:t>
      </w:r>
    </w:p>
    <w:p w14:paraId="4E58AC9C" w14:textId="7C101AFD" w:rsidR="00FC76F5" w:rsidRPr="000725C2" w:rsidRDefault="00512C96" w:rsidP="000725C2">
      <w:pPr>
        <w:spacing w:line="254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Tylko scenariusze II i III gwarantują osiągnięcie podwyższonych celów klimatycznych </w:t>
      </w:r>
      <w:r w:rsidR="00C50A28" w:rsidRPr="000725C2">
        <w:rPr>
          <w:rFonts w:asciiTheme="minorHAnsi" w:hAnsiTheme="minorHAnsi" w:cstheme="minorHAnsi"/>
          <w:szCs w:val="24"/>
        </w:rPr>
        <w:br/>
      </w:r>
      <w:r w:rsidRPr="000725C2">
        <w:rPr>
          <w:rFonts w:asciiTheme="minorHAnsi" w:hAnsiTheme="minorHAnsi" w:cstheme="minorHAnsi"/>
          <w:szCs w:val="24"/>
        </w:rPr>
        <w:t xml:space="preserve">w 2030 r. i neutralności klimatycznej do 2050 r. Aby </w:t>
      </w:r>
      <w:r w:rsidR="007064B5">
        <w:rPr>
          <w:rFonts w:asciiTheme="minorHAnsi" w:hAnsiTheme="minorHAnsi" w:cstheme="minorHAnsi"/>
          <w:szCs w:val="24"/>
        </w:rPr>
        <w:t xml:space="preserve">zrealizować </w:t>
      </w:r>
      <w:r w:rsidRPr="000725C2">
        <w:rPr>
          <w:rFonts w:asciiTheme="minorHAnsi" w:hAnsiTheme="minorHAnsi" w:cstheme="minorHAnsi"/>
          <w:szCs w:val="24"/>
        </w:rPr>
        <w:t>te</w:t>
      </w:r>
      <w:r w:rsidR="007064B5">
        <w:rPr>
          <w:rFonts w:asciiTheme="minorHAnsi" w:hAnsiTheme="minorHAnsi" w:cstheme="minorHAnsi"/>
          <w:szCs w:val="24"/>
        </w:rPr>
        <w:t xml:space="preserve"> prognozy </w:t>
      </w:r>
      <w:r w:rsidRPr="000725C2">
        <w:rPr>
          <w:rFonts w:asciiTheme="minorHAnsi" w:hAnsiTheme="minorHAnsi" w:cstheme="minorHAnsi"/>
          <w:szCs w:val="24"/>
        </w:rPr>
        <w:t xml:space="preserve">Polska </w:t>
      </w:r>
      <w:r w:rsidR="005B2EB2">
        <w:rPr>
          <w:rFonts w:asciiTheme="minorHAnsi" w:hAnsiTheme="minorHAnsi" w:cstheme="minorHAnsi"/>
          <w:szCs w:val="24"/>
        </w:rPr>
        <w:t>powinna</w:t>
      </w:r>
      <w:r w:rsidRPr="000725C2">
        <w:rPr>
          <w:rFonts w:asciiTheme="minorHAnsi" w:hAnsiTheme="minorHAnsi" w:cstheme="minorHAnsi"/>
          <w:szCs w:val="24"/>
        </w:rPr>
        <w:t xml:space="preserve"> zredukować emisje CO2 w transporcie o 10 proc. do 2030 r. i o 60 proc. do 2050 r. w stosunku do 2005 r.</w:t>
      </w:r>
      <w:r w:rsidR="0090286D">
        <w:rPr>
          <w:rFonts w:asciiTheme="minorHAnsi" w:hAnsiTheme="minorHAnsi" w:cstheme="minorHAnsi"/>
          <w:szCs w:val="24"/>
        </w:rPr>
        <w:t xml:space="preserve"> </w:t>
      </w:r>
      <w:r w:rsidRPr="000725C2">
        <w:rPr>
          <w:rFonts w:asciiTheme="minorHAnsi" w:hAnsiTheme="minorHAnsi" w:cstheme="minorHAnsi"/>
          <w:szCs w:val="24"/>
        </w:rPr>
        <w:t>Popyt na paliwa płynne</w:t>
      </w:r>
      <w:r w:rsidR="0090286D">
        <w:rPr>
          <w:rFonts w:asciiTheme="minorHAnsi" w:hAnsiTheme="minorHAnsi" w:cstheme="minorHAnsi"/>
          <w:szCs w:val="24"/>
        </w:rPr>
        <w:t xml:space="preserve"> </w:t>
      </w:r>
      <w:r w:rsidRPr="000725C2">
        <w:rPr>
          <w:rFonts w:asciiTheme="minorHAnsi" w:hAnsiTheme="minorHAnsi" w:cstheme="minorHAnsi"/>
          <w:szCs w:val="24"/>
        </w:rPr>
        <w:t xml:space="preserve">w Polsce będzie szybko spadać; w 2050 r. będzie niższy odpowiednio o 75 proc. i 90 proc. w stosunku do poziomu z 2019 r. Rafinerie będą szybko dywersyfikować swoją działalność. Do krytycznego momentu dojdzie na początku lat 40-tych, kiedy </w:t>
      </w:r>
      <w:r w:rsidR="007A1416" w:rsidRPr="000725C2">
        <w:rPr>
          <w:rFonts w:asciiTheme="minorHAnsi" w:hAnsiTheme="minorHAnsi" w:cstheme="minorHAnsi"/>
          <w:szCs w:val="24"/>
        </w:rPr>
        <w:t xml:space="preserve">może </w:t>
      </w:r>
      <w:r w:rsidRPr="000725C2">
        <w:rPr>
          <w:rFonts w:asciiTheme="minorHAnsi" w:hAnsiTheme="minorHAnsi" w:cstheme="minorHAnsi"/>
          <w:szCs w:val="24"/>
        </w:rPr>
        <w:t>przesta</w:t>
      </w:r>
      <w:r w:rsidR="007A1416" w:rsidRPr="000725C2">
        <w:rPr>
          <w:rFonts w:asciiTheme="minorHAnsi" w:hAnsiTheme="minorHAnsi" w:cstheme="minorHAnsi"/>
          <w:szCs w:val="24"/>
        </w:rPr>
        <w:t xml:space="preserve">ć </w:t>
      </w:r>
      <w:r w:rsidRPr="000725C2">
        <w:rPr>
          <w:rFonts w:asciiTheme="minorHAnsi" w:hAnsiTheme="minorHAnsi" w:cstheme="minorHAnsi"/>
          <w:szCs w:val="24"/>
        </w:rPr>
        <w:t xml:space="preserve">opłacać się produkcja oleju napędowego. </w:t>
      </w:r>
      <w:r w:rsidR="00000C58" w:rsidRPr="000725C2">
        <w:rPr>
          <w:rFonts w:asciiTheme="minorHAnsi" w:hAnsiTheme="minorHAnsi" w:cstheme="minorHAnsi"/>
          <w:szCs w:val="24"/>
        </w:rPr>
        <w:t xml:space="preserve">Jeśli do tego dojdzie, wymusi to </w:t>
      </w:r>
      <w:r w:rsidR="004E6038" w:rsidRPr="000725C2">
        <w:rPr>
          <w:rFonts w:asciiTheme="minorHAnsi" w:hAnsiTheme="minorHAnsi" w:cstheme="minorHAnsi"/>
          <w:szCs w:val="24"/>
        </w:rPr>
        <w:t xml:space="preserve">daleko idące zmiany </w:t>
      </w:r>
      <w:r w:rsidRPr="000725C2">
        <w:rPr>
          <w:rFonts w:asciiTheme="minorHAnsi" w:hAnsiTheme="minorHAnsi" w:cstheme="minorHAnsi"/>
          <w:szCs w:val="24"/>
        </w:rPr>
        <w:t>funkcjonowania sektora rafineryjnego w Polsce. Pozostały popyt na paliwa w kraju będzie zaspokajany przez import, który w tej sytuacji gwałtownie wzrośnie, ale w kolejnych latach będzie szybko malał.</w:t>
      </w:r>
    </w:p>
    <w:p w14:paraId="7786E292" w14:textId="099FB275" w:rsidR="00512C96" w:rsidRPr="000725C2" w:rsidRDefault="00FC76F5" w:rsidP="000725C2">
      <w:pPr>
        <w:spacing w:line="254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>Konieczne jest przygotowanie planów wycofania się z wykorzystywania paliw kopalnych i przekierowania</w:t>
      </w:r>
      <w:r w:rsidR="00512C96" w:rsidRPr="000725C2">
        <w:rPr>
          <w:rFonts w:asciiTheme="minorHAnsi" w:hAnsiTheme="minorHAnsi" w:cstheme="minorHAnsi"/>
          <w:szCs w:val="24"/>
        </w:rPr>
        <w:t xml:space="preserve"> </w:t>
      </w:r>
      <w:r w:rsidRPr="000725C2">
        <w:rPr>
          <w:rFonts w:asciiTheme="minorHAnsi" w:hAnsiTheme="minorHAnsi" w:cstheme="minorHAnsi"/>
          <w:szCs w:val="24"/>
        </w:rPr>
        <w:t>środków fi</w:t>
      </w:r>
      <w:r w:rsidR="00512C96" w:rsidRPr="000725C2">
        <w:rPr>
          <w:rFonts w:asciiTheme="minorHAnsi" w:hAnsiTheme="minorHAnsi" w:cstheme="minorHAnsi"/>
          <w:szCs w:val="24"/>
        </w:rPr>
        <w:t>nansowych na technologie nisko</w:t>
      </w:r>
      <w:r w:rsidRPr="000725C2">
        <w:rPr>
          <w:rFonts w:asciiTheme="minorHAnsi" w:hAnsiTheme="minorHAnsi" w:cstheme="minorHAnsi"/>
          <w:szCs w:val="24"/>
        </w:rPr>
        <w:t xml:space="preserve">emisyjne. </w:t>
      </w:r>
      <w:r w:rsidR="001234AA" w:rsidRPr="000725C2">
        <w:rPr>
          <w:rFonts w:asciiTheme="minorHAnsi" w:hAnsiTheme="minorHAnsi" w:cstheme="minorHAnsi"/>
          <w:szCs w:val="24"/>
        </w:rPr>
        <w:t>S</w:t>
      </w:r>
      <w:r w:rsidRPr="000725C2">
        <w:rPr>
          <w:rFonts w:asciiTheme="minorHAnsi" w:hAnsiTheme="minorHAnsi" w:cstheme="minorHAnsi"/>
          <w:szCs w:val="24"/>
        </w:rPr>
        <w:t xml:space="preserve">ektor </w:t>
      </w:r>
      <w:r w:rsidR="001234AA" w:rsidRPr="000725C2">
        <w:rPr>
          <w:rFonts w:asciiTheme="minorHAnsi" w:hAnsiTheme="minorHAnsi" w:cstheme="minorHAnsi"/>
          <w:szCs w:val="24"/>
        </w:rPr>
        <w:t xml:space="preserve">transportu </w:t>
      </w:r>
      <w:r w:rsidR="00B201F6" w:rsidRPr="000725C2">
        <w:rPr>
          <w:rFonts w:asciiTheme="minorHAnsi" w:hAnsiTheme="minorHAnsi" w:cstheme="minorHAnsi"/>
          <w:szCs w:val="24"/>
        </w:rPr>
        <w:t xml:space="preserve">ma fundamentalne znacznie dla </w:t>
      </w:r>
      <w:r w:rsidR="002252D2" w:rsidRPr="000725C2">
        <w:rPr>
          <w:rFonts w:asciiTheme="minorHAnsi" w:hAnsiTheme="minorHAnsi" w:cstheme="minorHAnsi"/>
          <w:szCs w:val="24"/>
        </w:rPr>
        <w:t xml:space="preserve">rozwoju gospodarczego i życia społecznego. </w:t>
      </w:r>
      <w:r w:rsidR="000B513B" w:rsidRPr="000725C2">
        <w:rPr>
          <w:rFonts w:asciiTheme="minorHAnsi" w:hAnsiTheme="minorHAnsi" w:cstheme="minorHAnsi"/>
          <w:szCs w:val="24"/>
        </w:rPr>
        <w:t xml:space="preserve">Żeby umożliwić efektywną transformację sektora </w:t>
      </w:r>
      <w:r w:rsidRPr="000725C2">
        <w:rPr>
          <w:rFonts w:asciiTheme="minorHAnsi" w:hAnsiTheme="minorHAnsi" w:cstheme="minorHAnsi"/>
          <w:szCs w:val="24"/>
        </w:rPr>
        <w:t xml:space="preserve">trzeba w większym stopniu postawić na produkcję zielonej energii elektrycznej i zielonego wodoru – dwóch najważniejszych rodzajów paliwa, które napędzą transport w przyszłości. </w:t>
      </w:r>
      <w:r w:rsidR="007F7DD8" w:rsidRPr="000725C2">
        <w:rPr>
          <w:rFonts w:asciiTheme="minorHAnsi" w:hAnsiTheme="minorHAnsi" w:cstheme="minorHAnsi"/>
          <w:szCs w:val="24"/>
        </w:rPr>
        <w:t xml:space="preserve">Należy przyspieszyć pracę nad zmianą miksu energetycznego, zwiększyć moce przesyłowe prądu oraz inwestować </w:t>
      </w:r>
      <w:r w:rsidR="00185787" w:rsidRPr="000725C2">
        <w:rPr>
          <w:rFonts w:asciiTheme="minorHAnsi" w:hAnsiTheme="minorHAnsi" w:cstheme="minorHAnsi"/>
          <w:szCs w:val="24"/>
        </w:rPr>
        <w:t xml:space="preserve">w technologię magazynowania energii </w:t>
      </w:r>
      <w:r w:rsidR="00E25603">
        <w:rPr>
          <w:rFonts w:asciiTheme="minorHAnsi" w:hAnsiTheme="minorHAnsi" w:cstheme="minorHAnsi"/>
          <w:szCs w:val="24"/>
        </w:rPr>
        <w:br/>
      </w:r>
      <w:r w:rsidR="00185787" w:rsidRPr="000725C2">
        <w:rPr>
          <w:rFonts w:asciiTheme="minorHAnsi" w:hAnsiTheme="minorHAnsi" w:cstheme="minorHAnsi"/>
          <w:szCs w:val="24"/>
        </w:rPr>
        <w:lastRenderedPageBreak/>
        <w:t xml:space="preserve">oraz paliwa niskoemisyjne. </w:t>
      </w:r>
      <w:r w:rsidRPr="000725C2">
        <w:rPr>
          <w:rFonts w:asciiTheme="minorHAnsi" w:hAnsiTheme="minorHAnsi" w:cstheme="minorHAnsi"/>
          <w:szCs w:val="24"/>
        </w:rPr>
        <w:t>Tempo dekarbonizacji transportu będzie zależeć od ostatecznego kształtu zmian legislacyjnych zaw</w:t>
      </w:r>
      <w:r w:rsidR="00512C96" w:rsidRPr="000725C2">
        <w:rPr>
          <w:rFonts w:asciiTheme="minorHAnsi" w:hAnsiTheme="minorHAnsi" w:cstheme="minorHAnsi"/>
          <w:szCs w:val="24"/>
        </w:rPr>
        <w:t xml:space="preserve">artych w pakiecie „Fit for 55”. </w:t>
      </w:r>
    </w:p>
    <w:p w14:paraId="33953A29" w14:textId="2DA62C32" w:rsidR="00DA7FC8" w:rsidRPr="000725C2" w:rsidRDefault="001579F9" w:rsidP="000725C2">
      <w:pPr>
        <w:spacing w:line="254" w:lineRule="auto"/>
        <w:ind w:firstLine="708"/>
        <w:jc w:val="both"/>
        <w:rPr>
          <w:rFonts w:asciiTheme="minorHAnsi" w:hAnsiTheme="minorHAnsi" w:cstheme="minorHAnsi"/>
        </w:rPr>
      </w:pPr>
      <w:r w:rsidRPr="000725C2">
        <w:rPr>
          <w:rFonts w:asciiTheme="minorHAnsi" w:hAnsiTheme="minorHAnsi" w:cstheme="minorHAnsi"/>
          <w:szCs w:val="24"/>
        </w:rPr>
        <w:t>Przewidując skutki „przymusowego” przestawienia europejskiego przemysłu motoryzacyjnego na elektromobilność, postulowanego przez Komisję Europejską, należy również pamiętać</w:t>
      </w:r>
      <w:r w:rsidR="00AD15AD" w:rsidRPr="000725C2">
        <w:rPr>
          <w:rFonts w:asciiTheme="minorHAnsi" w:hAnsiTheme="minorHAnsi" w:cstheme="minorHAnsi"/>
          <w:szCs w:val="24"/>
        </w:rPr>
        <w:t xml:space="preserve"> o konieczności daleko idących zmian społecznych </w:t>
      </w:r>
      <w:r w:rsidR="00DA7FC8" w:rsidRPr="000725C2">
        <w:rPr>
          <w:rFonts w:asciiTheme="minorHAnsi" w:hAnsiTheme="minorHAnsi" w:cstheme="minorHAnsi"/>
          <w:szCs w:val="24"/>
        </w:rPr>
        <w:t xml:space="preserve">- </w:t>
      </w:r>
      <w:r w:rsidR="00DA7FC8" w:rsidRPr="000725C2">
        <w:rPr>
          <w:rFonts w:asciiTheme="minorHAnsi" w:hAnsiTheme="minorHAnsi" w:cstheme="minorHAnsi"/>
          <w:i/>
          <w:iCs/>
        </w:rPr>
        <w:t xml:space="preserve">Polska jest zagłębiem produkcji części do produkcji samochodów. Sektor ten stanowi o sile całego przemysłu motoryzacyjnego i odgrywa istotną rolę w krajowej gospodarce, dając zatrudnienie ok. 167 tys. pracowników i zapewniając kilkadziesiąt miliardów złotych wpływów do budżetu państwa. </w:t>
      </w:r>
      <w:r w:rsidR="00E25603">
        <w:rPr>
          <w:rFonts w:asciiTheme="minorHAnsi" w:hAnsiTheme="minorHAnsi" w:cstheme="minorHAnsi"/>
          <w:i/>
          <w:iCs/>
        </w:rPr>
        <w:br/>
      </w:r>
      <w:r w:rsidR="00DA7FC8" w:rsidRPr="000725C2">
        <w:rPr>
          <w:rFonts w:asciiTheme="minorHAnsi" w:hAnsiTheme="minorHAnsi" w:cstheme="minorHAnsi"/>
          <w:i/>
          <w:iCs/>
        </w:rPr>
        <w:t>Przy wdrażaniu Zielonego Ładu n</w:t>
      </w:r>
      <w:r w:rsidR="00DA7FC8" w:rsidRPr="000725C2">
        <w:rPr>
          <w:rFonts w:asciiTheme="minorHAnsi" w:hAnsiTheme="minorHAnsi" w:cstheme="minorHAnsi"/>
          <w:i/>
          <w:iCs/>
          <w:szCs w:val="24"/>
        </w:rPr>
        <w:t xml:space="preserve">iewątpliwie spadnie liczba etatów związanych bezpośrednio </w:t>
      </w:r>
      <w:r w:rsidR="00E25603">
        <w:rPr>
          <w:rFonts w:asciiTheme="minorHAnsi" w:hAnsiTheme="minorHAnsi" w:cstheme="minorHAnsi"/>
          <w:i/>
          <w:iCs/>
          <w:szCs w:val="24"/>
        </w:rPr>
        <w:br/>
      </w:r>
      <w:r w:rsidR="00DA7FC8" w:rsidRPr="000725C2">
        <w:rPr>
          <w:rFonts w:asciiTheme="minorHAnsi" w:hAnsiTheme="minorHAnsi" w:cstheme="minorHAnsi"/>
          <w:i/>
          <w:iCs/>
          <w:szCs w:val="24"/>
        </w:rPr>
        <w:t xml:space="preserve">z produkcją części motoryzacyjnych, zwłaszcza tych wykorzystywanych wyłącznie w pojazdach </w:t>
      </w:r>
      <w:r w:rsidR="00E25603">
        <w:rPr>
          <w:rFonts w:asciiTheme="minorHAnsi" w:hAnsiTheme="minorHAnsi" w:cstheme="minorHAnsi"/>
          <w:i/>
          <w:iCs/>
          <w:szCs w:val="24"/>
        </w:rPr>
        <w:br/>
      </w:r>
      <w:r w:rsidR="00DA7FC8" w:rsidRPr="000725C2">
        <w:rPr>
          <w:rFonts w:asciiTheme="minorHAnsi" w:hAnsiTheme="minorHAnsi" w:cstheme="minorHAnsi"/>
          <w:i/>
          <w:iCs/>
          <w:szCs w:val="24"/>
        </w:rPr>
        <w:t>z napędem konwencjonalnym.</w:t>
      </w:r>
      <w:r w:rsidR="00DA7FC8" w:rsidRPr="000725C2">
        <w:rPr>
          <w:rFonts w:asciiTheme="minorHAnsi" w:hAnsiTheme="minorHAnsi" w:cstheme="minorHAnsi"/>
          <w:szCs w:val="24"/>
        </w:rPr>
        <w:t xml:space="preserve"> </w:t>
      </w:r>
      <w:r w:rsidR="00DA7FC8" w:rsidRPr="000725C2">
        <w:rPr>
          <w:rFonts w:asciiTheme="minorHAnsi" w:hAnsiTheme="minorHAnsi" w:cstheme="minorHAnsi"/>
          <w:i/>
          <w:iCs/>
        </w:rPr>
        <w:t xml:space="preserve">W Polsce działa ok. 150 producentów samych tylko części wchodzących w skład układu napędowego. Generują oni 55 tys. pełnowymiarowych etatów - te miejsca pracy są zagrożone. Warto dodać, że nie tylko one, choć oczywiście bardzo trudno precyzyjnie określić wpływ elektromobilności na cały rynek, czyli także dystrybutorów </w:t>
      </w:r>
      <w:r w:rsidR="00E25603">
        <w:rPr>
          <w:rFonts w:asciiTheme="minorHAnsi" w:hAnsiTheme="minorHAnsi" w:cstheme="minorHAnsi"/>
          <w:i/>
          <w:iCs/>
        </w:rPr>
        <w:br/>
      </w:r>
      <w:r w:rsidR="00DA7FC8" w:rsidRPr="000725C2">
        <w:rPr>
          <w:rFonts w:asciiTheme="minorHAnsi" w:hAnsiTheme="minorHAnsi" w:cstheme="minorHAnsi"/>
          <w:i/>
          <w:iCs/>
        </w:rPr>
        <w:t>i warsztaty motoryzacyjne</w:t>
      </w:r>
      <w:r w:rsidR="00DA7FC8" w:rsidRPr="000725C2">
        <w:rPr>
          <w:rFonts w:asciiTheme="minorHAnsi" w:hAnsiTheme="minorHAnsi" w:cstheme="minorHAnsi"/>
        </w:rPr>
        <w:t xml:space="preserve"> – mówi Tomasz Bęben, dyrektor zarządzający SDCM. </w:t>
      </w:r>
    </w:p>
    <w:p w14:paraId="7BC1A67A" w14:textId="2CC08D73" w:rsidR="00EC19B1" w:rsidRPr="000725C2" w:rsidRDefault="001579F9" w:rsidP="000725C2">
      <w:pPr>
        <w:spacing w:line="254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Do tego trzeba dodać </w:t>
      </w:r>
      <w:r w:rsidR="00D74B3D" w:rsidRPr="000725C2">
        <w:rPr>
          <w:rFonts w:asciiTheme="minorHAnsi" w:hAnsiTheme="minorHAnsi" w:cstheme="minorHAnsi"/>
          <w:szCs w:val="24"/>
        </w:rPr>
        <w:t xml:space="preserve">spadek zatrudnienia </w:t>
      </w:r>
      <w:r w:rsidRPr="000725C2">
        <w:rPr>
          <w:rFonts w:asciiTheme="minorHAnsi" w:hAnsiTheme="minorHAnsi" w:cstheme="minorHAnsi"/>
          <w:szCs w:val="24"/>
        </w:rPr>
        <w:t xml:space="preserve">w obszarach powiązanych z wydobyciem, produkcją i sprzedażą paliw (w tym biopaliw), olejów silnikowych, przekładniowych i innych, całym zapleczem naukowym i infrastrukturą w postaci rafinerii, terminali paliwowych, rurociągów, zbiorników, autocystern, cystern kolejowych, laboratoriów, firm zapewniających rozmaite usługi serwisowe, a także ponad 7700 stacji paliw. Zniknie także wiele miejsc pracy </w:t>
      </w:r>
      <w:r w:rsidR="00E25603">
        <w:rPr>
          <w:rFonts w:asciiTheme="minorHAnsi" w:hAnsiTheme="minorHAnsi" w:cstheme="minorHAnsi"/>
          <w:szCs w:val="24"/>
        </w:rPr>
        <w:br/>
      </w:r>
      <w:r w:rsidRPr="000725C2">
        <w:rPr>
          <w:rFonts w:asciiTheme="minorHAnsi" w:hAnsiTheme="minorHAnsi" w:cstheme="minorHAnsi"/>
          <w:szCs w:val="24"/>
        </w:rPr>
        <w:t xml:space="preserve">w rozmaitych obszarach administracji państwowej oraz organów związanych chociażby </w:t>
      </w:r>
      <w:r w:rsidR="00E25603">
        <w:rPr>
          <w:rFonts w:asciiTheme="minorHAnsi" w:hAnsiTheme="minorHAnsi" w:cstheme="minorHAnsi"/>
          <w:szCs w:val="24"/>
        </w:rPr>
        <w:br/>
      </w:r>
      <w:r w:rsidRPr="000725C2">
        <w:rPr>
          <w:rFonts w:asciiTheme="minorHAnsi" w:hAnsiTheme="minorHAnsi" w:cstheme="minorHAnsi"/>
          <w:szCs w:val="24"/>
        </w:rPr>
        <w:t xml:space="preserve">z nadzorem, szkoleniami i kontrolą tego rynku. Zakazanie produkcji silników spalinowych </w:t>
      </w:r>
      <w:r w:rsidR="00E25603">
        <w:rPr>
          <w:rFonts w:asciiTheme="minorHAnsi" w:hAnsiTheme="minorHAnsi" w:cstheme="minorHAnsi"/>
          <w:szCs w:val="24"/>
        </w:rPr>
        <w:br/>
      </w:r>
      <w:r w:rsidRPr="000725C2">
        <w:rPr>
          <w:rFonts w:asciiTheme="minorHAnsi" w:hAnsiTheme="minorHAnsi" w:cstheme="minorHAnsi"/>
          <w:szCs w:val="24"/>
        </w:rPr>
        <w:t>to także wyrok na polską branżę autogazu, która obok włoskiej jest największa w Europie</w:t>
      </w:r>
      <w:r w:rsidR="00EC19B1" w:rsidRPr="000725C2">
        <w:rPr>
          <w:rFonts w:asciiTheme="minorHAnsi" w:hAnsiTheme="minorHAnsi" w:cstheme="minorHAnsi"/>
          <w:szCs w:val="24"/>
        </w:rPr>
        <w:t>.</w:t>
      </w:r>
    </w:p>
    <w:p w14:paraId="4244B425" w14:textId="196E22D4" w:rsidR="004A25B2" w:rsidRPr="000725C2" w:rsidRDefault="00190E47" w:rsidP="000725C2">
      <w:pPr>
        <w:spacing w:line="254" w:lineRule="auto"/>
        <w:ind w:firstLine="708"/>
        <w:jc w:val="both"/>
        <w:rPr>
          <w:rFonts w:asciiTheme="minorHAnsi" w:hAnsiTheme="minorHAnsi" w:cstheme="minorHAnsi"/>
        </w:rPr>
      </w:pPr>
      <w:r w:rsidRPr="000725C2">
        <w:rPr>
          <w:rFonts w:asciiTheme="minorHAnsi" w:hAnsiTheme="minorHAnsi" w:cstheme="minorHAnsi"/>
          <w:i/>
          <w:iCs/>
        </w:rPr>
        <w:t>Planeta</w:t>
      </w:r>
      <w:r w:rsidR="00F005CD" w:rsidRPr="000725C2">
        <w:rPr>
          <w:rFonts w:asciiTheme="minorHAnsi" w:hAnsiTheme="minorHAnsi" w:cstheme="minorHAnsi"/>
          <w:i/>
          <w:iCs/>
        </w:rPr>
        <w:t>,</w:t>
      </w:r>
      <w:r w:rsidRPr="000725C2">
        <w:rPr>
          <w:rFonts w:asciiTheme="minorHAnsi" w:hAnsiTheme="minorHAnsi" w:cstheme="minorHAnsi"/>
          <w:i/>
          <w:iCs/>
        </w:rPr>
        <w:t xml:space="preserve"> na</w:t>
      </w:r>
      <w:r w:rsidR="00EC19B1" w:rsidRPr="000725C2">
        <w:rPr>
          <w:rFonts w:asciiTheme="minorHAnsi" w:hAnsiTheme="minorHAnsi" w:cstheme="minorHAnsi"/>
          <w:i/>
          <w:iCs/>
        </w:rPr>
        <w:t xml:space="preserve"> któr</w:t>
      </w:r>
      <w:r w:rsidRPr="000725C2">
        <w:rPr>
          <w:rFonts w:asciiTheme="minorHAnsi" w:hAnsiTheme="minorHAnsi" w:cstheme="minorHAnsi"/>
          <w:i/>
          <w:iCs/>
        </w:rPr>
        <w:t>ej</w:t>
      </w:r>
      <w:r w:rsidR="00EC19B1" w:rsidRPr="000725C2">
        <w:rPr>
          <w:rFonts w:asciiTheme="minorHAnsi" w:hAnsiTheme="minorHAnsi" w:cstheme="minorHAnsi"/>
          <w:i/>
          <w:iCs/>
        </w:rPr>
        <w:t xml:space="preserve"> żyjemy</w:t>
      </w:r>
      <w:r w:rsidR="00F005CD" w:rsidRPr="000725C2">
        <w:rPr>
          <w:rFonts w:asciiTheme="minorHAnsi" w:hAnsiTheme="minorHAnsi" w:cstheme="minorHAnsi"/>
          <w:i/>
          <w:iCs/>
        </w:rPr>
        <w:t>,</w:t>
      </w:r>
      <w:r w:rsidR="00EC19B1" w:rsidRPr="000725C2">
        <w:rPr>
          <w:rFonts w:asciiTheme="minorHAnsi" w:hAnsiTheme="minorHAnsi" w:cstheme="minorHAnsi"/>
          <w:i/>
          <w:iCs/>
        </w:rPr>
        <w:t xml:space="preserve"> jest naszym wspólnym dobrem. </w:t>
      </w:r>
      <w:r w:rsidR="003557D2" w:rsidRPr="000725C2">
        <w:rPr>
          <w:rFonts w:asciiTheme="minorHAnsi" w:hAnsiTheme="minorHAnsi" w:cstheme="minorHAnsi"/>
          <w:i/>
          <w:iCs/>
        </w:rPr>
        <w:t>Ważne jest to, by wspierać różne działania mające na celu ograniczenie emisji</w:t>
      </w:r>
      <w:r w:rsidR="004C600A" w:rsidRPr="000725C2">
        <w:rPr>
          <w:rFonts w:asciiTheme="minorHAnsi" w:hAnsiTheme="minorHAnsi" w:cstheme="minorHAnsi"/>
          <w:i/>
          <w:iCs/>
        </w:rPr>
        <w:t xml:space="preserve"> gazów cieplarnianych, a nie </w:t>
      </w:r>
      <w:r w:rsidR="00141CFD" w:rsidRPr="000725C2">
        <w:rPr>
          <w:rFonts w:asciiTheme="minorHAnsi" w:hAnsiTheme="minorHAnsi" w:cstheme="minorHAnsi"/>
          <w:i/>
          <w:iCs/>
        </w:rPr>
        <w:t xml:space="preserve">zwalczać </w:t>
      </w:r>
      <w:r w:rsidR="00BE670E" w:rsidRPr="000725C2">
        <w:rPr>
          <w:rFonts w:asciiTheme="minorHAnsi" w:hAnsiTheme="minorHAnsi" w:cstheme="minorHAnsi"/>
          <w:i/>
          <w:iCs/>
        </w:rPr>
        <w:t>silnik</w:t>
      </w:r>
      <w:r w:rsidR="001A091A" w:rsidRPr="000725C2">
        <w:rPr>
          <w:rFonts w:asciiTheme="minorHAnsi" w:hAnsiTheme="minorHAnsi" w:cstheme="minorHAnsi"/>
          <w:i/>
          <w:iCs/>
        </w:rPr>
        <w:t>i</w:t>
      </w:r>
      <w:r w:rsidR="00BE670E" w:rsidRPr="000725C2">
        <w:rPr>
          <w:rFonts w:asciiTheme="minorHAnsi" w:hAnsiTheme="minorHAnsi" w:cstheme="minorHAnsi"/>
          <w:i/>
          <w:iCs/>
        </w:rPr>
        <w:t xml:space="preserve"> spalinowe czy roz</w:t>
      </w:r>
      <w:r w:rsidR="00F005CD" w:rsidRPr="000725C2">
        <w:rPr>
          <w:rFonts w:asciiTheme="minorHAnsi" w:hAnsiTheme="minorHAnsi" w:cstheme="minorHAnsi"/>
          <w:i/>
          <w:iCs/>
        </w:rPr>
        <w:t xml:space="preserve">budowywać </w:t>
      </w:r>
      <w:r w:rsidR="00BE670E" w:rsidRPr="000725C2">
        <w:rPr>
          <w:rFonts w:asciiTheme="minorHAnsi" w:hAnsiTheme="minorHAnsi" w:cstheme="minorHAnsi"/>
          <w:i/>
          <w:iCs/>
        </w:rPr>
        <w:t>biurokracj</w:t>
      </w:r>
      <w:r w:rsidR="00F005CD" w:rsidRPr="000725C2">
        <w:rPr>
          <w:rFonts w:asciiTheme="minorHAnsi" w:hAnsiTheme="minorHAnsi" w:cstheme="minorHAnsi"/>
          <w:i/>
          <w:iCs/>
        </w:rPr>
        <w:t>ę</w:t>
      </w:r>
      <w:r w:rsidR="00BE670E" w:rsidRPr="000725C2">
        <w:rPr>
          <w:rFonts w:asciiTheme="minorHAnsi" w:hAnsiTheme="minorHAnsi" w:cstheme="minorHAnsi"/>
          <w:i/>
          <w:iCs/>
        </w:rPr>
        <w:t xml:space="preserve">. </w:t>
      </w:r>
      <w:r w:rsidR="00623E6E" w:rsidRPr="000725C2">
        <w:rPr>
          <w:rFonts w:asciiTheme="minorHAnsi" w:hAnsiTheme="minorHAnsi" w:cstheme="minorHAnsi"/>
          <w:i/>
          <w:iCs/>
        </w:rPr>
        <w:t xml:space="preserve">Pakiet </w:t>
      </w:r>
      <w:r w:rsidR="008E402B" w:rsidRPr="000725C2">
        <w:rPr>
          <w:rFonts w:asciiTheme="minorHAnsi" w:hAnsiTheme="minorHAnsi" w:cstheme="minorHAnsi"/>
          <w:i/>
          <w:iCs/>
        </w:rPr>
        <w:t xml:space="preserve">proponowany przez Komisję </w:t>
      </w:r>
      <w:r w:rsidR="0077460D" w:rsidRPr="000725C2">
        <w:rPr>
          <w:rFonts w:asciiTheme="minorHAnsi" w:hAnsiTheme="minorHAnsi" w:cstheme="minorHAnsi"/>
          <w:i/>
          <w:iCs/>
        </w:rPr>
        <w:t xml:space="preserve">nie uwzględnia dostatecznie roli, którą mają do odegrania </w:t>
      </w:r>
      <w:r w:rsidR="006F088E" w:rsidRPr="000725C2">
        <w:rPr>
          <w:rFonts w:asciiTheme="minorHAnsi" w:hAnsiTheme="minorHAnsi" w:cstheme="minorHAnsi"/>
          <w:i/>
          <w:iCs/>
        </w:rPr>
        <w:t xml:space="preserve">niskoemisyjne </w:t>
      </w:r>
      <w:r w:rsidR="006417C0" w:rsidRPr="000725C2">
        <w:rPr>
          <w:rFonts w:asciiTheme="minorHAnsi" w:hAnsiTheme="minorHAnsi" w:cstheme="minorHAnsi"/>
          <w:i/>
          <w:iCs/>
        </w:rPr>
        <w:t>paliwa ciekłe</w:t>
      </w:r>
      <w:r w:rsidR="001A091A" w:rsidRPr="000725C2">
        <w:rPr>
          <w:rFonts w:asciiTheme="minorHAnsi" w:hAnsiTheme="minorHAnsi" w:cstheme="minorHAnsi"/>
          <w:i/>
          <w:iCs/>
        </w:rPr>
        <w:t xml:space="preserve">. </w:t>
      </w:r>
      <w:r w:rsidR="00506EF3" w:rsidRPr="000725C2">
        <w:rPr>
          <w:rFonts w:asciiTheme="minorHAnsi" w:hAnsiTheme="minorHAnsi" w:cstheme="minorHAnsi"/>
          <w:i/>
          <w:iCs/>
        </w:rPr>
        <w:t xml:space="preserve">Dywersyfikacja </w:t>
      </w:r>
      <w:r w:rsidR="00F236EA" w:rsidRPr="000725C2">
        <w:rPr>
          <w:rFonts w:asciiTheme="minorHAnsi" w:hAnsiTheme="minorHAnsi" w:cstheme="minorHAnsi"/>
          <w:i/>
          <w:iCs/>
        </w:rPr>
        <w:t xml:space="preserve">zielonych </w:t>
      </w:r>
      <w:r w:rsidR="006417C0" w:rsidRPr="000725C2">
        <w:rPr>
          <w:rFonts w:asciiTheme="minorHAnsi" w:hAnsiTheme="minorHAnsi" w:cstheme="minorHAnsi"/>
          <w:i/>
          <w:iCs/>
        </w:rPr>
        <w:t>technologii napędzających transport</w:t>
      </w:r>
      <w:r w:rsidR="001A091A" w:rsidRPr="000725C2">
        <w:rPr>
          <w:rFonts w:asciiTheme="minorHAnsi" w:hAnsiTheme="minorHAnsi" w:cstheme="minorHAnsi"/>
          <w:i/>
          <w:iCs/>
        </w:rPr>
        <w:t xml:space="preserve"> jest kluczem do zachowania bezpieczeństwa energetycznego. Istotne jest również to, </w:t>
      </w:r>
      <w:r w:rsidR="007A35A3" w:rsidRPr="000725C2">
        <w:rPr>
          <w:rFonts w:asciiTheme="minorHAnsi" w:hAnsiTheme="minorHAnsi" w:cstheme="minorHAnsi"/>
          <w:i/>
          <w:iCs/>
        </w:rPr>
        <w:t xml:space="preserve">by pakiet </w:t>
      </w:r>
      <w:r w:rsidR="00480EED" w:rsidRPr="000725C2">
        <w:rPr>
          <w:rFonts w:asciiTheme="minorHAnsi" w:hAnsiTheme="minorHAnsi" w:cstheme="minorHAnsi"/>
          <w:i/>
          <w:iCs/>
          <w:szCs w:val="24"/>
        </w:rPr>
        <w:t xml:space="preserve">„Fit for 55” nie był realizowany </w:t>
      </w:r>
      <w:r w:rsidR="004A25B2" w:rsidRPr="000725C2">
        <w:rPr>
          <w:rFonts w:asciiTheme="minorHAnsi" w:hAnsiTheme="minorHAnsi" w:cstheme="minorHAnsi"/>
          <w:i/>
          <w:iCs/>
          <w:szCs w:val="24"/>
        </w:rPr>
        <w:t>kosztem najuboższych mieszkańców Unii</w:t>
      </w:r>
      <w:r w:rsidR="00F21EE4" w:rsidRPr="000725C2">
        <w:rPr>
          <w:rFonts w:asciiTheme="minorHAnsi" w:hAnsiTheme="minorHAnsi" w:cstheme="minorHAnsi"/>
          <w:szCs w:val="24"/>
        </w:rPr>
        <w:t xml:space="preserve"> – powiedział Leszek Wi</w:t>
      </w:r>
      <w:r w:rsidR="002655A7">
        <w:rPr>
          <w:rFonts w:asciiTheme="minorHAnsi" w:hAnsiTheme="minorHAnsi" w:cstheme="minorHAnsi"/>
          <w:szCs w:val="24"/>
        </w:rPr>
        <w:t>w</w:t>
      </w:r>
      <w:r w:rsidR="00F21EE4" w:rsidRPr="000725C2">
        <w:rPr>
          <w:rFonts w:asciiTheme="minorHAnsi" w:hAnsiTheme="minorHAnsi" w:cstheme="minorHAnsi"/>
          <w:szCs w:val="24"/>
        </w:rPr>
        <w:t xml:space="preserve">ała, </w:t>
      </w:r>
      <w:r w:rsidR="00D74B3D" w:rsidRPr="000725C2">
        <w:rPr>
          <w:rFonts w:asciiTheme="minorHAnsi" w:hAnsiTheme="minorHAnsi" w:cstheme="minorHAnsi"/>
          <w:szCs w:val="24"/>
        </w:rPr>
        <w:t>p</w:t>
      </w:r>
      <w:r w:rsidR="00F21EE4" w:rsidRPr="000725C2">
        <w:rPr>
          <w:rFonts w:asciiTheme="minorHAnsi" w:hAnsiTheme="minorHAnsi" w:cstheme="minorHAnsi"/>
          <w:szCs w:val="24"/>
        </w:rPr>
        <w:t>rezes POPiHN.</w:t>
      </w:r>
    </w:p>
    <w:p w14:paraId="004E82A5" w14:textId="133C413E" w:rsidR="001579F9" w:rsidRPr="000725C2" w:rsidRDefault="001579F9" w:rsidP="000725C2">
      <w:pPr>
        <w:spacing w:line="254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Bez względu na ścieżkę transformacji, którą ostatecznie podąży Unia, odchodzenie </w:t>
      </w:r>
      <w:r w:rsidR="00C50A28" w:rsidRPr="000725C2">
        <w:rPr>
          <w:rFonts w:asciiTheme="minorHAnsi" w:hAnsiTheme="minorHAnsi" w:cstheme="minorHAnsi"/>
          <w:szCs w:val="24"/>
        </w:rPr>
        <w:br/>
      </w:r>
      <w:r w:rsidRPr="000725C2">
        <w:rPr>
          <w:rFonts w:asciiTheme="minorHAnsi" w:hAnsiTheme="minorHAnsi" w:cstheme="minorHAnsi"/>
          <w:szCs w:val="24"/>
        </w:rPr>
        <w:t xml:space="preserve">od paliw kopalnych jest </w:t>
      </w:r>
      <w:r w:rsidR="00542B10" w:rsidRPr="000725C2">
        <w:rPr>
          <w:rFonts w:asciiTheme="minorHAnsi" w:hAnsiTheme="minorHAnsi" w:cstheme="minorHAnsi"/>
          <w:szCs w:val="24"/>
        </w:rPr>
        <w:t>cywilizacyjną koniecznością.</w:t>
      </w:r>
      <w:r w:rsidRPr="000725C2">
        <w:rPr>
          <w:rFonts w:asciiTheme="minorHAnsi" w:hAnsiTheme="minorHAnsi" w:cstheme="minorHAnsi"/>
          <w:szCs w:val="24"/>
        </w:rPr>
        <w:t xml:space="preserve"> </w:t>
      </w:r>
      <w:r w:rsidR="00A679BF" w:rsidRPr="000725C2">
        <w:rPr>
          <w:rFonts w:asciiTheme="minorHAnsi" w:hAnsiTheme="minorHAnsi" w:cstheme="minorHAnsi"/>
          <w:szCs w:val="24"/>
        </w:rPr>
        <w:t>Proces ten jest bard</w:t>
      </w:r>
      <w:r w:rsidR="00E25603">
        <w:rPr>
          <w:rFonts w:asciiTheme="minorHAnsi" w:hAnsiTheme="minorHAnsi" w:cstheme="minorHAnsi"/>
          <w:szCs w:val="24"/>
        </w:rPr>
        <w:t>zo skomplikowany, czasochłonny</w:t>
      </w:r>
      <w:r w:rsidR="00A679BF" w:rsidRPr="000725C2">
        <w:rPr>
          <w:rFonts w:asciiTheme="minorHAnsi" w:hAnsiTheme="minorHAnsi" w:cstheme="minorHAnsi"/>
          <w:szCs w:val="24"/>
        </w:rPr>
        <w:t xml:space="preserve"> i kosztowny. </w:t>
      </w:r>
      <w:r w:rsidR="003E2F5D" w:rsidRPr="000725C2">
        <w:rPr>
          <w:rFonts w:asciiTheme="minorHAnsi" w:hAnsiTheme="minorHAnsi" w:cstheme="minorHAnsi"/>
          <w:szCs w:val="24"/>
        </w:rPr>
        <w:t xml:space="preserve">Wszyscy konsumenci energii będą na końcu płacić za tę zmianę. </w:t>
      </w:r>
      <w:r w:rsidRPr="000725C2">
        <w:rPr>
          <w:rFonts w:asciiTheme="minorHAnsi" w:hAnsiTheme="minorHAnsi" w:cstheme="minorHAnsi"/>
          <w:szCs w:val="24"/>
        </w:rPr>
        <w:t xml:space="preserve">Ropa, stosowana do produkcji paliw płynnych, </w:t>
      </w:r>
      <w:r w:rsidR="00C15522" w:rsidRPr="000725C2">
        <w:rPr>
          <w:rFonts w:asciiTheme="minorHAnsi" w:hAnsiTheme="minorHAnsi" w:cstheme="minorHAnsi"/>
          <w:szCs w:val="24"/>
        </w:rPr>
        <w:t xml:space="preserve">w przyszłości </w:t>
      </w:r>
      <w:r w:rsidRPr="000725C2">
        <w:rPr>
          <w:rFonts w:asciiTheme="minorHAnsi" w:hAnsiTheme="minorHAnsi" w:cstheme="minorHAnsi"/>
          <w:szCs w:val="24"/>
        </w:rPr>
        <w:t>zostanie zastąpiona przez energię elektryczną</w:t>
      </w:r>
      <w:r w:rsidR="00C15522" w:rsidRPr="000725C2">
        <w:rPr>
          <w:rFonts w:asciiTheme="minorHAnsi" w:hAnsiTheme="minorHAnsi" w:cstheme="minorHAnsi"/>
          <w:szCs w:val="24"/>
        </w:rPr>
        <w:t xml:space="preserve">, </w:t>
      </w:r>
      <w:r w:rsidRPr="000725C2">
        <w:rPr>
          <w:rFonts w:asciiTheme="minorHAnsi" w:hAnsiTheme="minorHAnsi" w:cstheme="minorHAnsi"/>
          <w:szCs w:val="24"/>
        </w:rPr>
        <w:t>w mniejszym stopniu przez wodór</w:t>
      </w:r>
      <w:r w:rsidR="00C15522" w:rsidRPr="000725C2">
        <w:rPr>
          <w:rFonts w:asciiTheme="minorHAnsi" w:hAnsiTheme="minorHAnsi" w:cstheme="minorHAnsi"/>
          <w:szCs w:val="24"/>
        </w:rPr>
        <w:t xml:space="preserve">, </w:t>
      </w:r>
      <w:r w:rsidRPr="000725C2">
        <w:rPr>
          <w:rFonts w:asciiTheme="minorHAnsi" w:hAnsiTheme="minorHAnsi" w:cstheme="minorHAnsi"/>
          <w:szCs w:val="24"/>
        </w:rPr>
        <w:t>paliwa pochodzenia biologicznego i</w:t>
      </w:r>
      <w:r w:rsidR="00490A1D" w:rsidRPr="000725C2">
        <w:rPr>
          <w:rFonts w:asciiTheme="minorHAnsi" w:hAnsiTheme="minorHAnsi" w:cstheme="minorHAnsi"/>
          <w:szCs w:val="24"/>
        </w:rPr>
        <w:t> </w:t>
      </w:r>
      <w:r w:rsidRPr="000725C2">
        <w:rPr>
          <w:rFonts w:asciiTheme="minorHAnsi" w:hAnsiTheme="minorHAnsi" w:cstheme="minorHAnsi"/>
          <w:szCs w:val="24"/>
        </w:rPr>
        <w:t xml:space="preserve"> syntetycznego</w:t>
      </w:r>
      <w:r w:rsidR="00C15522" w:rsidRPr="000725C2">
        <w:rPr>
          <w:rFonts w:asciiTheme="minorHAnsi" w:hAnsiTheme="minorHAnsi" w:cstheme="minorHAnsi"/>
          <w:szCs w:val="24"/>
        </w:rPr>
        <w:t xml:space="preserve">, a także takie </w:t>
      </w:r>
      <w:r w:rsidR="006A2332" w:rsidRPr="000725C2">
        <w:rPr>
          <w:rFonts w:asciiTheme="minorHAnsi" w:hAnsiTheme="minorHAnsi" w:cstheme="minorHAnsi"/>
          <w:szCs w:val="24"/>
        </w:rPr>
        <w:t xml:space="preserve">technologie, które dzisiaj są na etapie badań laboratoryjnych. </w:t>
      </w:r>
      <w:r w:rsidRPr="000725C2">
        <w:rPr>
          <w:rFonts w:asciiTheme="minorHAnsi" w:hAnsiTheme="minorHAnsi" w:cstheme="minorHAnsi"/>
          <w:szCs w:val="24"/>
        </w:rPr>
        <w:t>Wciąż istnieją szanse, aby w sektorze naftowym uniknąć błędów, które popełniono w</w:t>
      </w:r>
      <w:r w:rsidR="00490A1D" w:rsidRPr="000725C2">
        <w:rPr>
          <w:rFonts w:asciiTheme="minorHAnsi" w:hAnsiTheme="minorHAnsi" w:cstheme="minorHAnsi"/>
          <w:szCs w:val="24"/>
        </w:rPr>
        <w:t> </w:t>
      </w:r>
      <w:r w:rsidRPr="000725C2">
        <w:rPr>
          <w:rFonts w:asciiTheme="minorHAnsi" w:hAnsiTheme="minorHAnsi" w:cstheme="minorHAnsi"/>
          <w:szCs w:val="24"/>
        </w:rPr>
        <w:t xml:space="preserve">górnictwie i energetyce, zbyt długo zwlekając z transformacją. </w:t>
      </w:r>
    </w:p>
    <w:p w14:paraId="54ADC3C7" w14:textId="198BEDCE" w:rsidR="00C50A28" w:rsidRPr="000725C2" w:rsidRDefault="00C50A28" w:rsidP="000725C2">
      <w:pPr>
        <w:spacing w:line="254" w:lineRule="auto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ab/>
        <w:t xml:space="preserve">Zapraszamy do zapoznania się z całością raportu. </w:t>
      </w:r>
    </w:p>
    <w:p w14:paraId="14D5F4B5" w14:textId="43683000" w:rsidR="00F36445" w:rsidRPr="000725C2" w:rsidRDefault="005D078F" w:rsidP="000725C2">
      <w:pPr>
        <w:spacing w:line="254" w:lineRule="auto"/>
        <w:jc w:val="both"/>
        <w:rPr>
          <w:rFonts w:asciiTheme="minorHAnsi" w:hAnsiTheme="minorHAnsi" w:cstheme="minorHAnsi"/>
          <w:szCs w:val="24"/>
        </w:rPr>
      </w:pPr>
      <w:r w:rsidRPr="000725C2">
        <w:rPr>
          <w:rFonts w:asciiTheme="minorHAnsi" w:hAnsiTheme="minorHAnsi" w:cstheme="minorHAnsi"/>
          <w:szCs w:val="24"/>
        </w:rPr>
        <w:t xml:space="preserve">Osoba do kontaktu: Nadia Rybczyńska, Starszy Specjalista POPiHN, tel. 726 965 000, </w:t>
      </w:r>
      <w:r w:rsidRPr="000725C2">
        <w:rPr>
          <w:rFonts w:asciiTheme="minorHAnsi" w:hAnsiTheme="minorHAnsi" w:cstheme="minorHAnsi"/>
          <w:szCs w:val="24"/>
        </w:rPr>
        <w:br/>
        <w:t xml:space="preserve">e-mail: </w:t>
      </w:r>
      <w:hyperlink r:id="rId8" w:history="1">
        <w:r w:rsidRPr="000725C2">
          <w:rPr>
            <w:rStyle w:val="Hipercze"/>
            <w:rFonts w:asciiTheme="minorHAnsi" w:hAnsiTheme="minorHAnsi" w:cstheme="minorHAnsi"/>
            <w:szCs w:val="24"/>
          </w:rPr>
          <w:t>nadia.rybczynska@popihn.pl</w:t>
        </w:r>
      </w:hyperlink>
    </w:p>
    <w:sectPr w:rsidR="00F36445" w:rsidRPr="000725C2" w:rsidSect="00B3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709" w:left="1276" w:header="709" w:footer="5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E4DC" w14:textId="77777777" w:rsidR="003F0222" w:rsidRDefault="003F0222" w:rsidP="00B36421">
      <w:pPr>
        <w:spacing w:line="240" w:lineRule="auto"/>
      </w:pPr>
      <w:r>
        <w:separator/>
      </w:r>
    </w:p>
  </w:endnote>
  <w:endnote w:type="continuationSeparator" w:id="0">
    <w:p w14:paraId="450F22FF" w14:textId="77777777" w:rsidR="003F0222" w:rsidRDefault="003F0222" w:rsidP="00B3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E7C8" w14:textId="77777777" w:rsidR="00E242CD" w:rsidRDefault="002655A7">
    <w:pPr>
      <w:pStyle w:val="Stopka"/>
      <w:jc w:val="right"/>
    </w:pPr>
  </w:p>
  <w:p w14:paraId="0EA29E41" w14:textId="77777777" w:rsidR="00D0590F" w:rsidRDefault="002655A7" w:rsidP="007F5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C2F" w14:textId="77777777" w:rsidR="004E592F" w:rsidRPr="008145B1" w:rsidRDefault="002655A7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93C" w14:textId="77777777" w:rsidR="00B36421" w:rsidRPr="008145B1" w:rsidRDefault="00B36421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>
      <w:rPr>
        <w:rFonts w:ascii="Cambria" w:eastAsia="Arial Unicode MS" w:hAnsi="Cambria" w:cs="Tahoma"/>
        <w:b/>
        <w:color w:val="000000"/>
        <w:sz w:val="16"/>
        <w:szCs w:val="16"/>
        <w:lang w:val="pl-PL"/>
      </w:rPr>
      <w:t>u</w:t>
    </w:r>
    <w:r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L.Rejtana 17 LOK. 36 | 02-516 wARSZAWA | TEL/FAX: +48 22 848 3605, +48 22 848 4590  </w:t>
    </w:r>
  </w:p>
  <w:p w14:paraId="17BB3CE4" w14:textId="77777777" w:rsidR="00B36421" w:rsidRPr="00E97623" w:rsidRDefault="00B36421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14:paraId="051BC7AE" w14:textId="77777777" w:rsidR="00B36421" w:rsidRPr="00556644" w:rsidRDefault="00B36421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ANWIM S.A.* 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bp Europa S.E. 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Pr="00556644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o.o.*fuchs oil corp. Sp z o.o.*</w:t>
    </w:r>
  </w:p>
  <w:p w14:paraId="0BB56F97" w14:textId="4EE4ED98" w:rsidR="000A6C23" w:rsidRDefault="000A6C23" w:rsidP="000A6C23">
    <w:pPr>
      <w:pStyle w:val="ReturnAddress"/>
      <w:framePr w:w="0" w:hRule="auto" w:hSpace="0" w:vSpace="0" w:wrap="auto" w:vAnchor="margin" w:hAnchor="text" w:xAlign="left" w:yAlign="inline"/>
      <w:jc w:val="left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556644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    </w:t>
    </w:r>
    <w:r w:rsidR="00B36421" w:rsidRPr="00556644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*Grupa LOTOS s.a. *perN S.A. *PKN Orlen S.A. *shell Polska sp. 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</w:t>
    </w:r>
    <w:r w:rsidR="00B3642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*SLOVNAFT polska s.a.</w:t>
    </w:r>
  </w:p>
  <w:p w14:paraId="374CFF42" w14:textId="3F7BBBB5" w:rsidR="00B36421" w:rsidRPr="000A6C23" w:rsidRDefault="000A6C23" w:rsidP="000A6C23">
    <w:pPr>
      <w:pStyle w:val="ReturnAddress"/>
      <w:framePr w:w="0" w:hRule="auto" w:hSpace="0" w:vSpace="0" w:wrap="auto" w:vAnchor="margin" w:hAnchor="text" w:xAlign="left" w:yAlign="inline"/>
      <w:jc w:val="left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          </w:t>
    </w:r>
    <w:r w:rsidR="00B3642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</w:t>
    </w:r>
    <w:r w:rsidRPr="000A6C23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TotalEnergies Marketing Polska sp. z o.o</w:t>
    </w:r>
    <w:r w:rsidR="00B36421"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  <w:r w:rsidR="009F6EB9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*</w:t>
    </w:r>
    <w:r w:rsidR="009F6EB9" w:rsidRPr="009F6EB9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UNIMOT S.A.</w:t>
    </w:r>
  </w:p>
  <w:p w14:paraId="1FE94E9C" w14:textId="77777777" w:rsidR="00B36421" w:rsidRDefault="00B36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310" w14:textId="77777777" w:rsidR="003F0222" w:rsidRDefault="003F0222" w:rsidP="00B36421">
      <w:pPr>
        <w:spacing w:line="240" w:lineRule="auto"/>
      </w:pPr>
      <w:r>
        <w:separator/>
      </w:r>
    </w:p>
  </w:footnote>
  <w:footnote w:type="continuationSeparator" w:id="0">
    <w:p w14:paraId="163C0788" w14:textId="77777777" w:rsidR="003F0222" w:rsidRDefault="003F0222" w:rsidP="00B3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10A7" w14:textId="77777777" w:rsidR="00A606B9" w:rsidRDefault="000D25B6" w:rsidP="00B6511D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40324669" wp14:editId="63C401A9">
          <wp:extent cx="2795270" cy="638169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4B83" w14:textId="5E0B666C" w:rsidR="00B36421" w:rsidRDefault="000D25B6" w:rsidP="000D25B6">
    <w:pPr>
      <w:pStyle w:val="Nagwek"/>
      <w:tabs>
        <w:tab w:val="left" w:pos="5460"/>
      </w:tabs>
    </w:pPr>
    <w:r>
      <w:rPr>
        <w:noProof/>
        <w:lang w:val="pl-PL"/>
      </w:rPr>
      <w:drawing>
        <wp:inline distT="0" distB="0" distL="0" distR="0" wp14:anchorId="7180903A" wp14:editId="6C29E71F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421">
      <w:tab/>
    </w:r>
    <w:r>
      <w:t xml:space="preserve">                    </w:t>
    </w:r>
    <w:r w:rsidR="0003033A">
      <w:rPr>
        <w:noProof/>
        <w:lang w:val="pl-PL"/>
      </w:rPr>
      <w:drawing>
        <wp:inline distT="0" distB="0" distL="0" distR="0" wp14:anchorId="3DB0869D" wp14:editId="0AF572E9">
          <wp:extent cx="771525" cy="6882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08" cy="70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pl-PL"/>
      </w:rPr>
      <w:t xml:space="preserve">   </w:t>
    </w:r>
    <w:r w:rsidR="00B364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E43"/>
    <w:multiLevelType w:val="hybridMultilevel"/>
    <w:tmpl w:val="8CFA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F42"/>
    <w:multiLevelType w:val="hybridMultilevel"/>
    <w:tmpl w:val="31A8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272"/>
    <w:multiLevelType w:val="hybridMultilevel"/>
    <w:tmpl w:val="2170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B7C"/>
    <w:multiLevelType w:val="hybridMultilevel"/>
    <w:tmpl w:val="B0F8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40E5"/>
    <w:multiLevelType w:val="hybridMultilevel"/>
    <w:tmpl w:val="487E9348"/>
    <w:lvl w:ilvl="0" w:tplc="A59E4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21"/>
    <w:rsid w:val="00000944"/>
    <w:rsid w:val="00000C58"/>
    <w:rsid w:val="0003033A"/>
    <w:rsid w:val="00053C90"/>
    <w:rsid w:val="000725C2"/>
    <w:rsid w:val="00073B54"/>
    <w:rsid w:val="00086FE4"/>
    <w:rsid w:val="000A2F12"/>
    <w:rsid w:val="000A6C23"/>
    <w:rsid w:val="000B513B"/>
    <w:rsid w:val="000D25B6"/>
    <w:rsid w:val="00115EEC"/>
    <w:rsid w:val="001234AA"/>
    <w:rsid w:val="0012612B"/>
    <w:rsid w:val="0014171F"/>
    <w:rsid w:val="00141CFD"/>
    <w:rsid w:val="001579F9"/>
    <w:rsid w:val="00185787"/>
    <w:rsid w:val="00190E47"/>
    <w:rsid w:val="001961ED"/>
    <w:rsid w:val="001A091A"/>
    <w:rsid w:val="00220275"/>
    <w:rsid w:val="002252D2"/>
    <w:rsid w:val="002655A7"/>
    <w:rsid w:val="0027489D"/>
    <w:rsid w:val="002E3821"/>
    <w:rsid w:val="003557D2"/>
    <w:rsid w:val="003B2420"/>
    <w:rsid w:val="003B329B"/>
    <w:rsid w:val="003D6C0A"/>
    <w:rsid w:val="003E2F5D"/>
    <w:rsid w:val="003F0222"/>
    <w:rsid w:val="00464B98"/>
    <w:rsid w:val="00480EED"/>
    <w:rsid w:val="00490A1D"/>
    <w:rsid w:val="004A00F9"/>
    <w:rsid w:val="004A25B2"/>
    <w:rsid w:val="004B232E"/>
    <w:rsid w:val="004C600A"/>
    <w:rsid w:val="004E6038"/>
    <w:rsid w:val="004F25ED"/>
    <w:rsid w:val="00502595"/>
    <w:rsid w:val="00506EF3"/>
    <w:rsid w:val="00512C96"/>
    <w:rsid w:val="005366A6"/>
    <w:rsid w:val="00542B10"/>
    <w:rsid w:val="00556644"/>
    <w:rsid w:val="00565F28"/>
    <w:rsid w:val="005814A6"/>
    <w:rsid w:val="00596938"/>
    <w:rsid w:val="005B2EB2"/>
    <w:rsid w:val="005B4D00"/>
    <w:rsid w:val="005D078F"/>
    <w:rsid w:val="005E0D51"/>
    <w:rsid w:val="0060068F"/>
    <w:rsid w:val="00623E6E"/>
    <w:rsid w:val="006417C0"/>
    <w:rsid w:val="006539E3"/>
    <w:rsid w:val="0067063D"/>
    <w:rsid w:val="006A2332"/>
    <w:rsid w:val="006B3D74"/>
    <w:rsid w:val="006B6114"/>
    <w:rsid w:val="006F088E"/>
    <w:rsid w:val="007064B5"/>
    <w:rsid w:val="00761194"/>
    <w:rsid w:val="0077460D"/>
    <w:rsid w:val="007A1416"/>
    <w:rsid w:val="007A35A3"/>
    <w:rsid w:val="007A62C7"/>
    <w:rsid w:val="007B1693"/>
    <w:rsid w:val="007B1DA5"/>
    <w:rsid w:val="007D0705"/>
    <w:rsid w:val="007D29C8"/>
    <w:rsid w:val="007D4BF7"/>
    <w:rsid w:val="007E2CD4"/>
    <w:rsid w:val="007F7DD8"/>
    <w:rsid w:val="00800F69"/>
    <w:rsid w:val="00802FE2"/>
    <w:rsid w:val="00804A99"/>
    <w:rsid w:val="00820774"/>
    <w:rsid w:val="008343BF"/>
    <w:rsid w:val="008417A7"/>
    <w:rsid w:val="008442EB"/>
    <w:rsid w:val="00850AE8"/>
    <w:rsid w:val="00870E77"/>
    <w:rsid w:val="008B06FC"/>
    <w:rsid w:val="008B54D5"/>
    <w:rsid w:val="008D2F59"/>
    <w:rsid w:val="008E402B"/>
    <w:rsid w:val="008F5FF8"/>
    <w:rsid w:val="0090286D"/>
    <w:rsid w:val="009063F2"/>
    <w:rsid w:val="0093417C"/>
    <w:rsid w:val="00993BD4"/>
    <w:rsid w:val="009962B3"/>
    <w:rsid w:val="009A145A"/>
    <w:rsid w:val="009A6FEC"/>
    <w:rsid w:val="009B0E6E"/>
    <w:rsid w:val="009C05E7"/>
    <w:rsid w:val="009C68D6"/>
    <w:rsid w:val="009F6EB9"/>
    <w:rsid w:val="00A20150"/>
    <w:rsid w:val="00A47B3F"/>
    <w:rsid w:val="00A679BF"/>
    <w:rsid w:val="00A718D5"/>
    <w:rsid w:val="00AB5104"/>
    <w:rsid w:val="00AD15AD"/>
    <w:rsid w:val="00AD6CA3"/>
    <w:rsid w:val="00AE3163"/>
    <w:rsid w:val="00AF0B94"/>
    <w:rsid w:val="00B02953"/>
    <w:rsid w:val="00B201F6"/>
    <w:rsid w:val="00B36421"/>
    <w:rsid w:val="00B42ABE"/>
    <w:rsid w:val="00B468CA"/>
    <w:rsid w:val="00B61E9B"/>
    <w:rsid w:val="00B82506"/>
    <w:rsid w:val="00BE0258"/>
    <w:rsid w:val="00BE670E"/>
    <w:rsid w:val="00C0683E"/>
    <w:rsid w:val="00C15522"/>
    <w:rsid w:val="00C42EB1"/>
    <w:rsid w:val="00C45D32"/>
    <w:rsid w:val="00C50A28"/>
    <w:rsid w:val="00C65066"/>
    <w:rsid w:val="00CA5578"/>
    <w:rsid w:val="00CC67B1"/>
    <w:rsid w:val="00CF47EB"/>
    <w:rsid w:val="00D0261D"/>
    <w:rsid w:val="00D237FB"/>
    <w:rsid w:val="00D459DB"/>
    <w:rsid w:val="00D538F1"/>
    <w:rsid w:val="00D61E55"/>
    <w:rsid w:val="00D74B3D"/>
    <w:rsid w:val="00D90F94"/>
    <w:rsid w:val="00DA7FC8"/>
    <w:rsid w:val="00DC39AB"/>
    <w:rsid w:val="00E25603"/>
    <w:rsid w:val="00E77CB8"/>
    <w:rsid w:val="00EC19B1"/>
    <w:rsid w:val="00ED1556"/>
    <w:rsid w:val="00EF22C0"/>
    <w:rsid w:val="00F005CD"/>
    <w:rsid w:val="00F21EE4"/>
    <w:rsid w:val="00F236EA"/>
    <w:rsid w:val="00F32550"/>
    <w:rsid w:val="00F36445"/>
    <w:rsid w:val="00F411FC"/>
    <w:rsid w:val="00F46692"/>
    <w:rsid w:val="00FC76F5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BF15E"/>
  <w15:docId w15:val="{F715E00D-B14E-4EF9-A5D5-74F010FC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2EB"/>
    <w:pPr>
      <w:keepNext/>
      <w:jc w:val="center"/>
      <w:outlineLvl w:val="0"/>
    </w:pPr>
    <w:rPr>
      <w:rFonts w:ascii="Bookman Old Style" w:hAnsi="Bookman Old Style"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4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1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3417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mat2">
    <w:name w:val="temat2"/>
    <w:basedOn w:val="Domylnaczcionkaakapitu"/>
    <w:rsid w:val="0093417C"/>
  </w:style>
  <w:style w:type="character" w:customStyle="1" w:styleId="Nagwek1Znak">
    <w:name w:val="Nagłówek 1 Znak"/>
    <w:basedOn w:val="Domylnaczcionkaakapitu"/>
    <w:link w:val="Nagwek1"/>
    <w:rsid w:val="008442EB"/>
    <w:rPr>
      <w:rFonts w:ascii="Bookman Old Style" w:eastAsia="Times New Roman" w:hAnsi="Bookman Old Style" w:cs="Times New Roman"/>
      <w:i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00F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rybczynska@popih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E774-F9C3-4111-831D-205AE226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POPiHN POPiHN</dc:creator>
  <cp:lastModifiedBy>POPiHN POPiHN</cp:lastModifiedBy>
  <cp:revision>5</cp:revision>
  <cp:lastPrinted>2021-02-11T13:35:00Z</cp:lastPrinted>
  <dcterms:created xsi:type="dcterms:W3CDTF">2021-12-13T15:02:00Z</dcterms:created>
  <dcterms:modified xsi:type="dcterms:W3CDTF">2021-12-15T10:06:00Z</dcterms:modified>
</cp:coreProperties>
</file>