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B0" w:rsidRPr="00465605" w:rsidRDefault="003D5A0A" w:rsidP="00DE34AB">
      <w:pPr>
        <w:spacing w:line="240" w:lineRule="auto"/>
        <w:ind w:left="432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ab/>
      </w:r>
      <w:r w:rsidR="00EA3CBB" w:rsidRPr="00465605">
        <w:rPr>
          <w:rFonts w:asciiTheme="minorHAnsi" w:hAnsiTheme="minorHAnsi" w:cstheme="minorHAnsi"/>
          <w:b/>
          <w:sz w:val="21"/>
          <w:szCs w:val="21"/>
        </w:rPr>
        <w:tab/>
      </w:r>
      <w:r w:rsidR="00EA3CBB" w:rsidRPr="00465605">
        <w:rPr>
          <w:rFonts w:asciiTheme="minorHAnsi" w:hAnsiTheme="minorHAnsi" w:cstheme="minorHAnsi"/>
          <w:b/>
          <w:sz w:val="21"/>
          <w:szCs w:val="21"/>
        </w:rPr>
        <w:tab/>
      </w:r>
      <w:r w:rsidR="001D2DE3" w:rsidRPr="00465605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  <w:r w:rsidR="00465605">
        <w:rPr>
          <w:rFonts w:asciiTheme="minorHAnsi" w:hAnsiTheme="minorHAnsi" w:cstheme="minorHAnsi"/>
          <w:sz w:val="21"/>
          <w:szCs w:val="21"/>
        </w:rPr>
        <w:t xml:space="preserve">Warszawa, </w:t>
      </w:r>
      <w:r w:rsidR="001D6114" w:rsidRPr="00465605">
        <w:rPr>
          <w:rFonts w:asciiTheme="minorHAnsi" w:hAnsiTheme="minorHAnsi" w:cstheme="minorHAnsi"/>
          <w:sz w:val="21"/>
          <w:szCs w:val="21"/>
        </w:rPr>
        <w:t>01.04</w:t>
      </w:r>
      <w:r w:rsidR="00F464B0" w:rsidRPr="00465605">
        <w:rPr>
          <w:rFonts w:asciiTheme="minorHAnsi" w:hAnsiTheme="minorHAnsi" w:cstheme="minorHAnsi"/>
          <w:sz w:val="21"/>
          <w:szCs w:val="21"/>
        </w:rPr>
        <w:t>.2019</w:t>
      </w:r>
      <w:r w:rsidR="00465605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F464B0" w:rsidRPr="00465605" w:rsidRDefault="00F464B0" w:rsidP="00DE34AB">
      <w:pPr>
        <w:spacing w:line="240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spacing w:line="240" w:lineRule="auto"/>
        <w:ind w:left="56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GŁÓWNE PROBLEMY BRANŻY PALIWOWEJ W POLSCE</w:t>
      </w:r>
    </w:p>
    <w:p w:rsidR="00F464B0" w:rsidRPr="00465605" w:rsidRDefault="00F464B0" w:rsidP="00DE34AB">
      <w:pPr>
        <w:spacing w:line="240" w:lineRule="auto"/>
        <w:ind w:left="567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1D2DE3" w:rsidRPr="00465605" w:rsidRDefault="00F464B0" w:rsidP="001D6114">
      <w:pPr>
        <w:widowControl w:val="0"/>
        <w:numPr>
          <w:ilvl w:val="0"/>
          <w:numId w:val="8"/>
        </w:num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 xml:space="preserve">Infrastruktura i logistyka paliw, zapasy obowiązkowe  </w:t>
      </w:r>
    </w:p>
    <w:p w:rsidR="00F464B0" w:rsidRPr="00465605" w:rsidRDefault="00F464B0" w:rsidP="00DE34AB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>Ograniczenie przestępczości w obrocie paliwami doprowadziło do wzrostu dostaw, realizowanych przez przedsiębiorstwa działające zgodnie z prawem, które wywiązują się ze  wszystkich obowiązków prawnych, związanych z obrotem paliwami, w tym m.in. utrzymywania zapasów obowiązkowych. Skutkiem tego jest brak wystarczających zasobów infrastrukturalnych, a w nieodległej pr</w:t>
      </w:r>
      <w:r w:rsidR="00596F98" w:rsidRPr="00465605">
        <w:rPr>
          <w:rFonts w:asciiTheme="minorHAnsi" w:eastAsiaTheme="minorHAnsi" w:hAnsiTheme="minorHAnsi" w:cstheme="minorHAnsi"/>
          <w:sz w:val="21"/>
          <w:szCs w:val="21"/>
        </w:rPr>
        <w:t>zyszłości wystąpić mogą braki w 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infrastrukturze magazynowej paliw płynnych.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Przyczyną takiego stanu jest przede wszystkim fakt, że w minionych kilku latach  nie zrealizowano istotnych inwestycji w infrastrukturę naftową. Wobec </w:t>
      </w:r>
      <w:r w:rsidR="00E47EC9">
        <w:rPr>
          <w:rFonts w:asciiTheme="minorHAnsi" w:eastAsiaTheme="minorHAnsi" w:hAnsiTheme="minorHAnsi" w:cstheme="minorHAnsi"/>
          <w:sz w:val="21"/>
          <w:szCs w:val="21"/>
        </w:rPr>
        <w:t>znacząceg</w:t>
      </w:r>
      <w:r w:rsidR="00A422E7">
        <w:rPr>
          <w:rFonts w:asciiTheme="minorHAnsi" w:eastAsiaTheme="minorHAnsi" w:hAnsiTheme="minorHAnsi" w:cstheme="minorHAnsi"/>
          <w:sz w:val="21"/>
          <w:szCs w:val="21"/>
        </w:rPr>
        <w:t>o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 udziału paliwa z nielegalnych źródeł dotychczasowa infrastruktura była wystarczająca dla obsługi rynku.</w:t>
      </w:r>
      <w:bookmarkStart w:id="0" w:name="_GoBack"/>
      <w:bookmarkEnd w:id="0"/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Utrudnieniem w rozwoju logistyki paliwowej są przepisy prawa, nie uwzględniające specyfiki inwestycji w tym sektorze.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Wciąż nie jest zakończony proces wdrażania nowej struktury zapasów interwencyjnych, zakładającej podział obowiązków między ARM i przedsiębiorców (odpowiednio 60 dni i 30 dni zapasów).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Problemem operacyjnym, utrudniającym sprawny transport paliw płynnych cysternami drogowymi jest to, że część dróg, prowadzących do terminali paliwowych, ma ograniczenia w zakresie nacisku na oś – zarówno ze względu na decyzje władz lokalnych, jak też kategorię dróg. Powoduje to konieczność uzyskiwania indywidualnych zezwoleń na dojazd cystern samochodowych. </w:t>
      </w:r>
    </w:p>
    <w:p w:rsidR="00EA7C56" w:rsidRPr="00465605" w:rsidRDefault="00EA7C56" w:rsidP="00EA7C56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Nadal występuje problem kradzieży paliwa w łańcuchu dostaw, często z udziałem kierowców cystern paliwowych.</w:t>
      </w:r>
    </w:p>
    <w:p w:rsidR="001D6114" w:rsidRPr="00465605" w:rsidRDefault="001D6114" w:rsidP="00EA7C56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b/>
          <w:sz w:val="21"/>
          <w:szCs w:val="21"/>
        </w:rPr>
        <w:t>Nasze stanowisko:</w:t>
      </w:r>
    </w:p>
    <w:p w:rsidR="00F464B0" w:rsidRPr="00465605" w:rsidRDefault="00440F89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>Postulujemy d</w:t>
      </w:r>
      <w:r w:rsidR="00F464B0" w:rsidRPr="00465605">
        <w:rPr>
          <w:rFonts w:asciiTheme="minorHAnsi" w:eastAsiaTheme="minorHAnsi" w:hAnsiTheme="minorHAnsi" w:cstheme="minorHAnsi"/>
          <w:sz w:val="21"/>
          <w:szCs w:val="21"/>
        </w:rPr>
        <w:t>oprowadzenie do zapewnienia wymaganej wielkości infrastruktury magazynowej paliw płynnych w Polsce poprzez pilną realizację inwestycji w tym obszarze, a także w obszarze logistyki rurociągowej. Usprawnieniu systemu niewątpliwie służyłoby zwiększenie ilości ropy naftowej i paliw przechowywanych przez ARM w ramach zapasów interwencyjnych, a tym samym obniżenie poziomu zapasów obowiązkowych przechowywanych przez przedsiębiorców i zwiększenie adekwatnej puli zapasów agencyjnych w ARM. W celu poprawy bilansu pojemności magazynowych zasadn</w:t>
      </w:r>
      <w:r w:rsidR="00E47EC9">
        <w:rPr>
          <w:rFonts w:asciiTheme="minorHAnsi" w:eastAsiaTheme="minorHAnsi" w:hAnsiTheme="minorHAnsi" w:cstheme="minorHAnsi"/>
          <w:sz w:val="21"/>
          <w:szCs w:val="21"/>
        </w:rPr>
        <w:t xml:space="preserve">a byłaby </w:t>
      </w:r>
      <w:r w:rsidR="00F464B0" w:rsidRPr="00465605">
        <w:rPr>
          <w:rFonts w:asciiTheme="minorHAnsi" w:eastAsiaTheme="minorHAnsi" w:hAnsiTheme="minorHAnsi" w:cstheme="minorHAnsi"/>
          <w:sz w:val="21"/>
          <w:szCs w:val="21"/>
        </w:rPr>
        <w:t xml:space="preserve"> również realokacja zapasów agencyjnych z naziemnych baz magazynowych do pojemności podziemnych. Ponadto n</w:t>
      </w:r>
      <w:r w:rsidR="00F464B0" w:rsidRPr="00465605">
        <w:rPr>
          <w:rFonts w:asciiTheme="minorHAnsi" w:hAnsiTheme="minorHAnsi" w:cstheme="minorHAnsi"/>
          <w:sz w:val="21"/>
          <w:szCs w:val="21"/>
        </w:rPr>
        <w:t>iezbędne są pilne inwestycje w tym obszarze i rozbudowa pojemności magazynowych w kraju.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W celu szybszego i bardziej efektywnego prowadzenia inwestycji niezbędne jest przyjęcie tzw. specustawy dla procesów inwestycyjnych w sektorze logistyki naftowej, w korzystnym dla branży kształcie.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Kluczowe jest zakończenie procesu wdrażania nowej struktury zapasów interwencyjnych, a także eliminac</w:t>
      </w:r>
      <w:r w:rsidR="00596F98" w:rsidRPr="00465605">
        <w:rPr>
          <w:rFonts w:asciiTheme="minorHAnsi" w:hAnsiTheme="minorHAnsi" w:cstheme="minorHAnsi"/>
          <w:sz w:val="21"/>
          <w:szCs w:val="21"/>
        </w:rPr>
        <w:t>ja z </w:t>
      </w:r>
      <w:r w:rsidRPr="00465605">
        <w:rPr>
          <w:rFonts w:asciiTheme="minorHAnsi" w:hAnsiTheme="minorHAnsi" w:cstheme="minorHAnsi"/>
          <w:sz w:val="21"/>
          <w:szCs w:val="21"/>
        </w:rPr>
        <w:t>ustawy o zapasach barier regulacyjnych, wpływających negatywnie na poziom obowiązków dot. zapasów oraz wnoszenia opłaty zapasowej.</w:t>
      </w:r>
    </w:p>
    <w:p w:rsidR="00F464B0" w:rsidRPr="00465605" w:rsidRDefault="00757DCB" w:rsidP="001D6114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Ułatwieniem dla podmiotów realizujących </w:t>
      </w:r>
      <w:r w:rsidR="00E47EC9">
        <w:rPr>
          <w:rFonts w:asciiTheme="minorHAnsi" w:hAnsiTheme="minorHAnsi" w:cstheme="minorHAnsi"/>
          <w:sz w:val="21"/>
          <w:szCs w:val="21"/>
        </w:rPr>
        <w:t>obowiązek</w:t>
      </w:r>
      <w:r w:rsidRPr="00465605">
        <w:rPr>
          <w:rFonts w:asciiTheme="minorHAnsi" w:hAnsiTheme="minorHAnsi" w:cstheme="minorHAnsi"/>
          <w:sz w:val="21"/>
          <w:szCs w:val="21"/>
        </w:rPr>
        <w:t xml:space="preserve"> przecho</w:t>
      </w:r>
      <w:r w:rsidR="00596F98" w:rsidRPr="00465605">
        <w:rPr>
          <w:rFonts w:asciiTheme="minorHAnsi" w:hAnsiTheme="minorHAnsi" w:cstheme="minorHAnsi"/>
          <w:sz w:val="21"/>
          <w:szCs w:val="21"/>
        </w:rPr>
        <w:t>wywania zapasów obowiązkowych i </w:t>
      </w:r>
      <w:r w:rsidRPr="00465605">
        <w:rPr>
          <w:rFonts w:asciiTheme="minorHAnsi" w:hAnsiTheme="minorHAnsi" w:cstheme="minorHAnsi"/>
          <w:sz w:val="21"/>
          <w:szCs w:val="21"/>
        </w:rPr>
        <w:t>jednocześnie szybką metodą na pozyskanie dostępu do nowych pojemności magazynowych byłoby wykorzystanie zapisów ustawowych</w:t>
      </w:r>
      <w:r w:rsidR="00440F89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mówiących o możliwości </w:t>
      </w:r>
      <w:r w:rsidR="00AA01E7" w:rsidRPr="00465605">
        <w:rPr>
          <w:rFonts w:asciiTheme="minorHAnsi" w:hAnsiTheme="minorHAnsi" w:cstheme="minorHAnsi"/>
          <w:sz w:val="21"/>
          <w:szCs w:val="21"/>
        </w:rPr>
        <w:t>przechowywania części zapasów w </w:t>
      </w:r>
      <w:r w:rsidRPr="00465605">
        <w:rPr>
          <w:rFonts w:asciiTheme="minorHAnsi" w:hAnsiTheme="minorHAnsi" w:cstheme="minorHAnsi"/>
          <w:sz w:val="21"/>
          <w:szCs w:val="21"/>
        </w:rPr>
        <w:t>pojemnościach poza Polską. Rozwiązanie to byłoby możliwe do wykorzystania tylko w przypadku podpisania umów bilateralnych</w:t>
      </w:r>
      <w:r w:rsidR="00440F89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umożliwiających relokację zapasów poza granice naszego kraju.</w:t>
      </w:r>
      <w:r w:rsidR="001D6114" w:rsidRPr="00465605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="00F464B0" w:rsidRPr="00465605">
        <w:rPr>
          <w:rFonts w:asciiTheme="minorHAnsi" w:eastAsiaTheme="majorEastAsia" w:hAnsiTheme="minorHAnsi" w:cstheme="minorHAnsi"/>
          <w:sz w:val="21"/>
          <w:szCs w:val="21"/>
        </w:rPr>
        <w:t xml:space="preserve">Konieczne są zmiany w zasadach dopuszczania do ruchu na drogach pojazdów o </w:t>
      </w:r>
      <w:r w:rsidR="00AA01E7" w:rsidRPr="00465605">
        <w:rPr>
          <w:rFonts w:asciiTheme="minorHAnsi" w:eastAsiaTheme="majorEastAsia" w:hAnsiTheme="minorHAnsi" w:cstheme="minorHAnsi"/>
          <w:sz w:val="21"/>
          <w:szCs w:val="21"/>
        </w:rPr>
        <w:t>nacisku na oś 11,5 t, zgodnie z </w:t>
      </w:r>
      <w:r w:rsidR="00F464B0" w:rsidRPr="00465605">
        <w:rPr>
          <w:rFonts w:asciiTheme="minorHAnsi" w:eastAsiaTheme="majorEastAsia" w:hAnsiTheme="minorHAnsi" w:cstheme="minorHAnsi"/>
          <w:sz w:val="21"/>
          <w:szCs w:val="21"/>
        </w:rPr>
        <w:t>regulacjami Unii Europejskiej. Umożliwił</w:t>
      </w:r>
      <w:r w:rsidR="00440F89" w:rsidRPr="00465605">
        <w:rPr>
          <w:rFonts w:asciiTheme="minorHAnsi" w:eastAsiaTheme="majorEastAsia" w:hAnsiTheme="minorHAnsi" w:cstheme="minorHAnsi"/>
          <w:sz w:val="21"/>
          <w:szCs w:val="21"/>
        </w:rPr>
        <w:t>y</w:t>
      </w:r>
      <w:r w:rsidR="00F464B0" w:rsidRPr="00465605">
        <w:rPr>
          <w:rFonts w:asciiTheme="minorHAnsi" w:eastAsiaTheme="majorEastAsia" w:hAnsiTheme="minorHAnsi" w:cstheme="minorHAnsi"/>
          <w:sz w:val="21"/>
          <w:szCs w:val="21"/>
        </w:rPr>
        <w:t>by one bezproblemową logistykę drogową paliw po polskich drogach.</w:t>
      </w:r>
      <w:r w:rsidR="001D6114" w:rsidRPr="00465605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="00F464B0" w:rsidRPr="00465605">
        <w:rPr>
          <w:rFonts w:asciiTheme="minorHAnsi" w:eastAsiaTheme="majorEastAsia" w:hAnsiTheme="minorHAnsi" w:cstheme="minorHAnsi"/>
          <w:sz w:val="21"/>
          <w:szCs w:val="21"/>
        </w:rPr>
        <w:t>Proponujemy podjęcie prac nad zmianą przepisów w zakresie sankcji, które powinny dotykać  nieuczciwych kierowców, poprzez przywrócenie regulacji, które w prz</w:t>
      </w:r>
      <w:r w:rsidR="00AA01E7" w:rsidRPr="00465605">
        <w:rPr>
          <w:rFonts w:asciiTheme="minorHAnsi" w:eastAsiaTheme="majorEastAsia" w:hAnsiTheme="minorHAnsi" w:cstheme="minorHAnsi"/>
          <w:sz w:val="21"/>
          <w:szCs w:val="21"/>
        </w:rPr>
        <w:t>eszłości były ujęte w ustawie o </w:t>
      </w:r>
      <w:r w:rsidR="00F464B0" w:rsidRPr="00465605">
        <w:rPr>
          <w:rFonts w:asciiTheme="minorHAnsi" w:eastAsiaTheme="majorEastAsia" w:hAnsiTheme="minorHAnsi" w:cstheme="minorHAnsi"/>
          <w:sz w:val="21"/>
          <w:szCs w:val="21"/>
        </w:rPr>
        <w:t xml:space="preserve">transporcie drogowym (zawieszenie lub pozbawienie uprawnień </w:t>
      </w:r>
      <w:r w:rsidR="00EA7C56" w:rsidRPr="00465605">
        <w:rPr>
          <w:rFonts w:asciiTheme="minorHAnsi" w:eastAsiaTheme="majorEastAsia" w:hAnsiTheme="minorHAnsi" w:cstheme="minorHAnsi"/>
          <w:sz w:val="21"/>
          <w:szCs w:val="21"/>
        </w:rPr>
        <w:t xml:space="preserve">ADR </w:t>
      </w:r>
      <w:r w:rsidR="00F464B0" w:rsidRPr="00465605">
        <w:rPr>
          <w:rFonts w:asciiTheme="minorHAnsi" w:eastAsiaTheme="majorEastAsia" w:hAnsiTheme="minorHAnsi" w:cstheme="minorHAnsi"/>
          <w:sz w:val="21"/>
          <w:szCs w:val="21"/>
        </w:rPr>
        <w:t>kierowców, skazanych prawomocnym wyrokiem sądowym za kradzież paliwa).</w:t>
      </w:r>
      <w:r w:rsidR="00EA7C56" w:rsidRPr="00465605">
        <w:rPr>
          <w:rFonts w:asciiTheme="minorHAnsi" w:eastAsiaTheme="majorEastAsia" w:hAnsiTheme="minorHAnsi" w:cstheme="minorHAnsi"/>
          <w:sz w:val="21"/>
          <w:szCs w:val="21"/>
        </w:rPr>
        <w:t xml:space="preserve"> </w:t>
      </w:r>
    </w:p>
    <w:p w:rsidR="00F464B0" w:rsidRPr="00465605" w:rsidRDefault="00F464B0" w:rsidP="00DE34AB">
      <w:pPr>
        <w:keepNext/>
        <w:keepLines/>
        <w:spacing w:line="240" w:lineRule="auto"/>
        <w:jc w:val="both"/>
        <w:outlineLvl w:val="0"/>
        <w:rPr>
          <w:rFonts w:asciiTheme="minorHAnsi" w:eastAsiaTheme="majorEastAsia" w:hAnsiTheme="minorHAnsi" w:cstheme="minorHAnsi"/>
          <w:sz w:val="21"/>
          <w:szCs w:val="21"/>
        </w:rPr>
      </w:pPr>
    </w:p>
    <w:p w:rsidR="001D2DE3" w:rsidRPr="00465605" w:rsidRDefault="00F464B0" w:rsidP="001D6114">
      <w:pPr>
        <w:pStyle w:val="Akapitzlist"/>
        <w:keepNext/>
        <w:keepLines/>
        <w:numPr>
          <w:ilvl w:val="0"/>
          <w:numId w:val="8"/>
        </w:numPr>
        <w:jc w:val="both"/>
        <w:outlineLvl w:val="0"/>
        <w:rPr>
          <w:rFonts w:asciiTheme="minorHAnsi" w:eastAsiaTheme="majorEastAsia" w:hAnsiTheme="minorHAnsi" w:cstheme="minorHAnsi"/>
          <w:b/>
          <w:sz w:val="21"/>
          <w:szCs w:val="21"/>
        </w:rPr>
      </w:pPr>
      <w:r w:rsidRPr="00465605">
        <w:rPr>
          <w:rFonts w:asciiTheme="minorHAnsi" w:eastAsiaTheme="majorEastAsia" w:hAnsiTheme="minorHAnsi" w:cstheme="minorHAnsi"/>
          <w:b/>
          <w:sz w:val="21"/>
          <w:szCs w:val="21"/>
        </w:rPr>
        <w:t>Regulacje podatkowe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W roku 2018 rząd podjął prace nad szeregiem aktów prawnych  w obszarze podatków, z czego część została przyjęta w postaci ustaw lub rozporządzeń i wejdzie w życie w roku 2019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Nowe przepisy dotyczą zarówno branży paliwowej, jak i innych gałęzi gospodarki. Ze względu na mnogość projektów i szybki tryb legislacji ich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 xml:space="preserve">rzetelna analiza była bardzo utrudniona, </w:t>
      </w:r>
      <w:r w:rsidR="00E47EC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mimo że ich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wdrożenie i praktyka stosowania będą stanowić duże wyzwanie zarówno dla administracji, jak i branży paliwowej. </w:t>
      </w:r>
    </w:p>
    <w:p w:rsidR="007342D6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Dzięki współpracy z branżą Ministerstwu Finansów udało się </w:t>
      </w:r>
      <w:r w:rsidR="00AA01E7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uniknąć problemów, związanych z 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wprowadzeniem w życie regulacji 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dotyczących wymiany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dotychczas funkcjonujących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kas fiskalnych 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na kasy typu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on-line czy też 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dokumentów przewozowych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e-DD.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Z drugiej strony nakładanie nowych obowiązków powoduje znaczny wzrost kosztów operacyjnych po stronie przedsiębiorców – tym bardziej, że część regulacji dotyczy tych samych obszarów działalności (np. SENT – e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-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DD). Zwraca uwagę zaniżanie w OSR kosztów wprowadzenia proponowanych rozwiązań.</w:t>
      </w:r>
    </w:p>
    <w:p w:rsidR="00F464B0" w:rsidRPr="00465605" w:rsidRDefault="00F464B0" w:rsidP="00DE34AB">
      <w:pPr>
        <w:widowControl w:val="0"/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F464B0" w:rsidRPr="00465605" w:rsidRDefault="00F464B0" w:rsidP="00DE34AB">
      <w:pPr>
        <w:widowControl w:val="0"/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Uważamy, że administracja powinna wprowadzać nowe przepisy w sposób, który zminimalizuje koszty dla przedsiębiorców. Przepisy podatkowe muszą uwzględniać specyfikę branży. Należy doprowadzić do sytuacji, kiedy nie następuje dublowanie sprawozdawczości i procesów, które pojawiają się w wielu systemach jednocześnie (np. e-DD versus SENT). Wdrażanie takich rozwiązań, jak np. kasy fiskalne on-line, powinno być realizowane z uwzględnieniem głos</w:t>
      </w:r>
      <w:r w:rsidR="00757DC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u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branży. Przepisy prawa powinny być konsultowane w trybie dającym zainteresowanym podmiotom czas na ich rzetelną analizę i ocenę różnorakich skutków.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Pożądane jest wprowadzenie jasnych przepisów prawa, nie dających pola do ich dowolnej interpretacji przez służby kontrolne, z ordynacją podatkową zwiększającą ochronę podatników przed fiskusem.</w:t>
      </w:r>
      <w:r w:rsidRPr="00465605">
        <w:rPr>
          <w:rFonts w:asciiTheme="minorHAnsi" w:hAnsiTheme="minorHAnsi" w:cstheme="minorHAnsi"/>
          <w:sz w:val="21"/>
          <w:szCs w:val="21"/>
        </w:rPr>
        <w:t xml:space="preserve"> Jasne i stabilne przepisy prawa podatkowego, uwzględniające specyfikę branży, stanowią podstawę jej rozwoju i dalszych inwestycji.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Wnioskujemy o przyjęcie jednolitych stawek VAT na produkty gastronomiczne</w:t>
      </w:r>
      <w:r w:rsidR="00BD332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oferowane w różnych rodzajach działalności usługowej.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D2DE3" w:rsidRPr="00465605" w:rsidRDefault="00F464B0" w:rsidP="001D611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465605">
        <w:rPr>
          <w:rFonts w:asciiTheme="minorHAnsi" w:hAnsiTheme="minorHAnsi" w:cstheme="minorHAnsi"/>
          <w:b/>
          <w:sz w:val="21"/>
          <w:szCs w:val="21"/>
          <w:lang w:eastAsia="en-US"/>
        </w:rPr>
        <w:t>Kontynuacja działań związanych ze zwalczaniem przestępczości w obrocie paliwami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Podjęte w latach 2016/2017 działania rządu (pakiet paliwowy, pakiet energetyczny i pakiet transportowy – tzw. SENT) doprowadziły do zasadniczego ograniczenia przestępczości w obrocie paliwami i wzrostu </w:t>
      </w:r>
      <w:r w:rsidR="00BD332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ich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oficjalnej konsumpcji. Tym niemniej pozostają obszary, 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których nadal ma miejsce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nielegaln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zarob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e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k (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obrót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lekki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olej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em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opałowy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 paliw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em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żeglugow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 paliw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em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lotnicz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 paliw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em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kolejow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 paliw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em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rolnicz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wykorzystywanie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baz olejow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ych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). Podmioty z szarej strefy korzystają też z nowych metod w logistyce, 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takich jak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przewóz paliwa w pojazdach niedostosowanych do ich transportu (</w:t>
      </w:r>
      <w:r w:rsidR="00BD332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cysterny do transportu mleka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 przewóz w plastikowych kontenerach w zwykłych ciężarówkach etc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). </w:t>
      </w:r>
    </w:p>
    <w:p w:rsidR="00675656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Z drugiej strony zaczyna być zauważalne zjawisko nadmiernej komplikacji przepisów</w:t>
      </w:r>
      <w:r w:rsidR="00BD332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 także niewykorzystywania możliwości scalania przez władze niektórych rozwiązań (SENT – e</w:t>
      </w:r>
      <w:r w:rsidR="00BD332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-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DD), co skutkuje ponoszeniem coraz większych kosztów przez działających zgodnie z prawem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przedsiębiorców.</w:t>
      </w:r>
      <w:r w:rsidR="00675656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Rozważane jest wprowadzenie pełnego nadzoru nad operacjami dotyczącymi paliw na stacjach paliw w ramach tzw. systemu Connect.</w:t>
      </w:r>
    </w:p>
    <w:p w:rsidR="001D6114" w:rsidRPr="00465605" w:rsidRDefault="001D6114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F464B0" w:rsidRPr="00465605" w:rsidRDefault="00F464B0" w:rsidP="00DE34AB">
      <w:pPr>
        <w:tabs>
          <w:tab w:val="left" w:pos="2580"/>
        </w:tabs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675656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W celu  utrzymania „blokady” działalności przestępców konieczna jest stała obserwacja rynku, kontynuacja współpracy administracji z branżą, a także utrzymanie wysokiego poziomu kontroli – również na drogach - realizowanych przez KAS i inne instytucje, nawet w sytuacji dojścia do zerowego poziomu wykrywalności. Z drugiej strony wprowadzane rozwiązania (rozwinięcie SENT) nie powinny być zbyt uciążliwe dla przedsiębiorców, działających zgodnie z prawem. </w:t>
      </w:r>
      <w:r w:rsidR="00675656" w:rsidRPr="00465605">
        <w:rPr>
          <w:rFonts w:asciiTheme="minorHAnsi" w:hAnsiTheme="minorHAnsi" w:cstheme="minorHAnsi"/>
          <w:sz w:val="21"/>
          <w:szCs w:val="21"/>
        </w:rPr>
        <w:t>Co za tym idzie</w:t>
      </w:r>
      <w:r w:rsidR="00BD332D" w:rsidRPr="00465605">
        <w:rPr>
          <w:rFonts w:asciiTheme="minorHAnsi" w:hAnsiTheme="minorHAnsi" w:cstheme="minorHAnsi"/>
          <w:sz w:val="21"/>
          <w:szCs w:val="21"/>
        </w:rPr>
        <w:t>,</w:t>
      </w:r>
      <w:r w:rsidR="00675656" w:rsidRPr="00465605">
        <w:rPr>
          <w:rFonts w:asciiTheme="minorHAnsi" w:hAnsiTheme="minorHAnsi" w:cstheme="minorHAnsi"/>
          <w:sz w:val="21"/>
          <w:szCs w:val="21"/>
        </w:rPr>
        <w:t xml:space="preserve"> konieczne jest wydawanie przez KAS jednolitych interpretacji przepisów SENT i zasad kontroli. Należy także doprowadzić do zintegrowania systemów e</w:t>
      </w:r>
      <w:r w:rsidR="00BD332D" w:rsidRPr="00465605">
        <w:rPr>
          <w:rFonts w:asciiTheme="minorHAnsi" w:hAnsiTheme="minorHAnsi" w:cstheme="minorHAnsi"/>
          <w:sz w:val="21"/>
          <w:szCs w:val="21"/>
        </w:rPr>
        <w:t>-</w:t>
      </w:r>
      <w:r w:rsidR="00675656" w:rsidRPr="00465605">
        <w:rPr>
          <w:rFonts w:asciiTheme="minorHAnsi" w:hAnsiTheme="minorHAnsi" w:cstheme="minorHAnsi"/>
          <w:sz w:val="21"/>
          <w:szCs w:val="21"/>
        </w:rPr>
        <w:t xml:space="preserve">DD i SENT w celu zmniejszenia obciążeń przedsiębiorców. Wprowadzenie systemu Connect powinno zostać poprzedzone szeroką debatą z branżą, z odpowiednim wyprzedzeniem czasowym. </w:t>
      </w:r>
    </w:p>
    <w:p w:rsidR="00311F76" w:rsidRPr="00465605" w:rsidRDefault="00311F76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Ponawiamy postulat przeniesienia zwrotu akcyzy za paliwo rolnicze z urzędów gmin do KAS, a także zrównanie akcyzy od produktów mających podobny skład fizykochemiczny – jak </w:t>
      </w:r>
      <w:r w:rsidR="00BD332D" w:rsidRPr="00465605">
        <w:rPr>
          <w:rFonts w:asciiTheme="minorHAnsi" w:hAnsiTheme="minorHAnsi" w:cstheme="minorHAnsi"/>
          <w:sz w:val="21"/>
          <w:szCs w:val="21"/>
        </w:rPr>
        <w:t xml:space="preserve">olej napędowy </w:t>
      </w:r>
      <w:r w:rsidRPr="00465605">
        <w:rPr>
          <w:rFonts w:asciiTheme="minorHAnsi" w:hAnsiTheme="minorHAnsi" w:cstheme="minorHAnsi"/>
          <w:sz w:val="21"/>
          <w:szCs w:val="21"/>
        </w:rPr>
        <w:t xml:space="preserve">i </w:t>
      </w:r>
      <w:r w:rsidR="00BD332D" w:rsidRPr="00465605">
        <w:rPr>
          <w:rFonts w:asciiTheme="minorHAnsi" w:hAnsiTheme="minorHAnsi" w:cstheme="minorHAnsi"/>
          <w:sz w:val="21"/>
          <w:szCs w:val="21"/>
        </w:rPr>
        <w:t>lekki olej opałowy</w:t>
      </w:r>
      <w:r w:rsidRPr="00465605">
        <w:rPr>
          <w:rFonts w:asciiTheme="minorHAnsi" w:hAnsiTheme="minorHAnsi" w:cstheme="minorHAnsi"/>
          <w:sz w:val="21"/>
          <w:szCs w:val="21"/>
        </w:rPr>
        <w:t xml:space="preserve">, </w:t>
      </w:r>
      <w:r w:rsidR="00BD332D" w:rsidRPr="00465605">
        <w:rPr>
          <w:rFonts w:asciiTheme="minorHAnsi" w:hAnsiTheme="minorHAnsi" w:cstheme="minorHAnsi"/>
          <w:sz w:val="21"/>
          <w:szCs w:val="21"/>
        </w:rPr>
        <w:t xml:space="preserve">gaz </w:t>
      </w:r>
      <w:r w:rsidRPr="00465605">
        <w:rPr>
          <w:rFonts w:asciiTheme="minorHAnsi" w:hAnsiTheme="minorHAnsi" w:cstheme="minorHAnsi"/>
          <w:sz w:val="21"/>
          <w:szCs w:val="21"/>
        </w:rPr>
        <w:t>LPG do celów grzewczych i autogaz.</w:t>
      </w:r>
    </w:p>
    <w:p w:rsidR="00675656" w:rsidRPr="00465605" w:rsidRDefault="00675656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D2DE3" w:rsidRPr="00465605" w:rsidRDefault="00F464B0" w:rsidP="001D611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465605">
        <w:rPr>
          <w:rFonts w:asciiTheme="minorHAnsi" w:hAnsiTheme="minorHAnsi" w:cstheme="minorHAnsi"/>
          <w:b/>
          <w:sz w:val="21"/>
          <w:szCs w:val="21"/>
          <w:lang w:eastAsia="en-US"/>
        </w:rPr>
        <w:t>Jakość paliw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Paliwa wprowadzane na polski rynek spełniają wszelkie normy jakościowe i zapewniają bezproblemową eksploatację pojazdów. Potwierdzają to coraz lepsze wyniki badań jakości paliw, prowadzone przez Inspekcję Handlową. </w:t>
      </w:r>
    </w:p>
    <w:p w:rsidR="00BB78EF" w:rsidRPr="00465605" w:rsidRDefault="00BB78EF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lastRenderedPageBreak/>
        <w:t xml:space="preserve">W Polsce konsekwentnie wprowadzane są regulacje dotyczące paliw odnawialnych </w:t>
      </w:r>
      <w:r w:rsidR="00BD332D" w:rsidRPr="00465605">
        <w:rPr>
          <w:rFonts w:asciiTheme="minorHAnsi" w:hAnsiTheme="minorHAnsi" w:cstheme="minorHAnsi"/>
          <w:sz w:val="21"/>
          <w:szCs w:val="21"/>
        </w:rPr>
        <w:t xml:space="preserve">dla </w:t>
      </w:r>
      <w:r w:rsidRPr="00465605">
        <w:rPr>
          <w:rFonts w:asciiTheme="minorHAnsi" w:hAnsiTheme="minorHAnsi" w:cstheme="minorHAnsi"/>
          <w:sz w:val="21"/>
          <w:szCs w:val="21"/>
        </w:rPr>
        <w:t>transpor</w:t>
      </w:r>
      <w:r w:rsidR="00BD332D" w:rsidRPr="00465605">
        <w:rPr>
          <w:rFonts w:asciiTheme="minorHAnsi" w:hAnsiTheme="minorHAnsi" w:cstheme="minorHAnsi"/>
          <w:sz w:val="21"/>
          <w:szCs w:val="21"/>
        </w:rPr>
        <w:t>tu</w:t>
      </w:r>
      <w:r w:rsidRPr="00465605">
        <w:rPr>
          <w:rFonts w:asciiTheme="minorHAnsi" w:hAnsiTheme="minorHAnsi" w:cstheme="minorHAnsi"/>
          <w:sz w:val="21"/>
          <w:szCs w:val="21"/>
        </w:rPr>
        <w:t xml:space="preserve">. Regulacje UE związane z tzw. dyrektywą ILUC ograniczają do 2020 roku używanie biopaliw pierwszej generacji do poziomu 7% oraz zobowiązują państwa członkowskie do promowania </w:t>
      </w:r>
      <w:r w:rsidR="00AA01E7" w:rsidRPr="00465605">
        <w:rPr>
          <w:rFonts w:asciiTheme="minorHAnsi" w:hAnsiTheme="minorHAnsi" w:cstheme="minorHAnsi"/>
          <w:sz w:val="21"/>
          <w:szCs w:val="21"/>
        </w:rPr>
        <w:t>tzw. zaawansowanych biopaliw. W </w:t>
      </w:r>
      <w:r w:rsidRPr="00465605">
        <w:rPr>
          <w:rFonts w:asciiTheme="minorHAnsi" w:hAnsiTheme="minorHAnsi" w:cstheme="minorHAnsi"/>
          <w:sz w:val="21"/>
          <w:szCs w:val="21"/>
        </w:rPr>
        <w:t xml:space="preserve">polskich warunkach wyzwaniem pozostaje oddzielenie NCR i NCW, a także kwestie techniczne, związane z zaawansowanymi biopaliwami. </w:t>
      </w:r>
    </w:p>
    <w:p w:rsidR="00BB78EF" w:rsidRPr="00465605" w:rsidRDefault="00BB78EF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B78EF" w:rsidRPr="00465605" w:rsidRDefault="00BB78EF" w:rsidP="00DE34AB">
      <w:pPr>
        <w:spacing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Przyjęta w 2018 roku </w:t>
      </w:r>
      <w:r w:rsidRPr="00465605">
        <w:rPr>
          <w:rFonts w:asciiTheme="minorHAnsi" w:hAnsiTheme="minorHAnsi" w:cstheme="minorHAnsi"/>
          <w:bCs/>
          <w:sz w:val="21"/>
          <w:szCs w:val="21"/>
        </w:rPr>
        <w:t>nowelizacja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 dyrektywy w sprawie promowania stosowania energii ze źródeł odnawialnych (REDII), </w:t>
      </w:r>
      <w:r w:rsidRPr="00465605">
        <w:rPr>
          <w:rFonts w:asciiTheme="minorHAnsi" w:hAnsiTheme="minorHAnsi" w:cstheme="minorHAnsi"/>
          <w:bCs/>
          <w:sz w:val="21"/>
          <w:szCs w:val="21"/>
        </w:rPr>
        <w:t xml:space="preserve">którą </w:t>
      </w:r>
      <w:r w:rsidRPr="00465605">
        <w:rPr>
          <w:rFonts w:asciiTheme="minorHAnsi" w:hAnsiTheme="minorHAnsi" w:cstheme="minorHAnsi"/>
          <w:sz w:val="21"/>
          <w:szCs w:val="21"/>
        </w:rPr>
        <w:t xml:space="preserve"> kraje członkowskie powinny implementować do 30 czerwca 2021 roku</w:t>
      </w:r>
      <w:r w:rsidR="007F5945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zakłada dążenie do osiągnięcia w roku 2030 m.in. 32% udziału energii ze źródeł odnawialnych w zużyciu energii w UE ogółem, z tego 14 </w:t>
      </w:r>
      <w:r w:rsidR="00BD332D" w:rsidRPr="00465605">
        <w:rPr>
          <w:rFonts w:asciiTheme="minorHAnsi" w:hAnsiTheme="minorHAnsi" w:cstheme="minorHAnsi"/>
          <w:sz w:val="21"/>
          <w:szCs w:val="21"/>
        </w:rPr>
        <w:t>punktów procentowych</w:t>
      </w:r>
      <w:r w:rsidRPr="00465605">
        <w:rPr>
          <w:rFonts w:asciiTheme="minorHAnsi" w:hAnsiTheme="minorHAnsi" w:cstheme="minorHAnsi"/>
          <w:sz w:val="21"/>
          <w:szCs w:val="21"/>
        </w:rPr>
        <w:t xml:space="preserve"> ma należeć do sektora transportu. Jeżeli chodzi o paliwa transportowe, to szczególnie promowane są biopaliwa zaawansowane, których wykorzystanie musi wynieść min. 3,5% na koniec przyszłej dekady. 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>Niezwykle ważny w zakresie biopaliw konwencjonalnych jest ustalony na lata 2021-2030 limit, którego poziom będzie sumą udziału tych biopa</w:t>
      </w:r>
      <w:r w:rsidR="00AA01E7" w:rsidRPr="00465605">
        <w:rPr>
          <w:rFonts w:asciiTheme="minorHAnsi" w:hAnsiTheme="minorHAnsi" w:cstheme="minorHAnsi"/>
          <w:b/>
          <w:bCs/>
          <w:sz w:val="21"/>
          <w:szCs w:val="21"/>
        </w:rPr>
        <w:t>liw w ogólnym zużyciu energii w 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transporcie w roku 2020 tak, by łącznie nie przekroczyć 7%. </w:t>
      </w:r>
    </w:p>
    <w:p w:rsidR="002A3FC7" w:rsidRPr="00465605" w:rsidRDefault="002A3FC7" w:rsidP="00DE34AB">
      <w:p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65605">
        <w:rPr>
          <w:rFonts w:asciiTheme="minorHAnsi" w:hAnsiTheme="minorHAnsi" w:cstheme="minorHAnsi"/>
          <w:bCs/>
          <w:sz w:val="21"/>
          <w:szCs w:val="21"/>
        </w:rPr>
        <w:t xml:space="preserve">Pewnym wyzwaniem dla branży paliwowej i motoryzacyjnej pozostaje wpływ zaawansowanych biopaliw na jakość B7, E5 i E10. </w:t>
      </w:r>
    </w:p>
    <w:p w:rsidR="001D6114" w:rsidRPr="00465605" w:rsidRDefault="001D6114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widowControl w:val="0"/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BD07F3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Uważamy, że </w:t>
      </w:r>
      <w:r w:rsidR="00BD07F3" w:rsidRPr="00465605">
        <w:rPr>
          <w:rFonts w:asciiTheme="minorHAnsi" w:hAnsiTheme="minorHAnsi" w:cstheme="minorHAnsi"/>
          <w:sz w:val="21"/>
          <w:szCs w:val="21"/>
        </w:rPr>
        <w:t>należy pilnie przyjąć nową, kompleksową ustawę na lata 2020-2030, implementującą do polskiego porządku prawnego regulacj</w:t>
      </w:r>
      <w:r w:rsidR="004B3E0D" w:rsidRPr="00465605">
        <w:rPr>
          <w:rFonts w:asciiTheme="minorHAnsi" w:hAnsiTheme="minorHAnsi" w:cstheme="minorHAnsi"/>
          <w:sz w:val="21"/>
          <w:szCs w:val="21"/>
        </w:rPr>
        <w:t>e</w:t>
      </w:r>
      <w:r w:rsidR="00BD07F3" w:rsidRPr="00465605">
        <w:rPr>
          <w:rFonts w:asciiTheme="minorHAnsi" w:hAnsiTheme="minorHAnsi" w:cstheme="minorHAnsi"/>
          <w:sz w:val="21"/>
          <w:szCs w:val="21"/>
        </w:rPr>
        <w:t xml:space="preserve"> w zakresie RED, FQD i REDII – w miejsce dotychczasowych oddzielnych ustaw dotyczących systemu monitorowania jakości </w:t>
      </w:r>
      <w:r w:rsidR="004B3E0D" w:rsidRPr="00465605">
        <w:rPr>
          <w:rFonts w:asciiTheme="minorHAnsi" w:hAnsiTheme="minorHAnsi" w:cstheme="minorHAnsi"/>
          <w:sz w:val="21"/>
          <w:szCs w:val="21"/>
        </w:rPr>
        <w:t xml:space="preserve">paliw </w:t>
      </w:r>
      <w:r w:rsidR="00BD07F3" w:rsidRPr="00465605">
        <w:rPr>
          <w:rFonts w:asciiTheme="minorHAnsi" w:hAnsiTheme="minorHAnsi" w:cstheme="minorHAnsi"/>
          <w:sz w:val="21"/>
          <w:szCs w:val="21"/>
        </w:rPr>
        <w:t xml:space="preserve">oraz biopaliw i biokomponentów. </w:t>
      </w:r>
    </w:p>
    <w:p w:rsidR="00F464B0" w:rsidRPr="00465605" w:rsidRDefault="00BD07F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Ponadto oczekujemy, że zapisy dotyczące realizacji w 2020 roku poziomów NCW i NCR zostaną zinterpretowane w sposób najbardziej przyjazny branży paliwowej. Ponawiamy postulat </w:t>
      </w:r>
      <w:r w:rsidR="00F464B0" w:rsidRPr="00465605">
        <w:rPr>
          <w:rFonts w:asciiTheme="minorHAnsi" w:hAnsiTheme="minorHAnsi" w:cstheme="minorHAnsi"/>
          <w:sz w:val="21"/>
          <w:szCs w:val="21"/>
        </w:rPr>
        <w:t xml:space="preserve"> eliminacji z rynku biopaliwa B100, służącego często do wyłudzeń VAT oraz omijania konieczności realizacji NCW, </w:t>
      </w:r>
      <w:r w:rsidRPr="00465605">
        <w:rPr>
          <w:rFonts w:asciiTheme="minorHAnsi" w:hAnsiTheme="minorHAnsi" w:cstheme="minorHAnsi"/>
          <w:sz w:val="21"/>
          <w:szCs w:val="21"/>
        </w:rPr>
        <w:t xml:space="preserve">a co za tym idzie </w:t>
      </w:r>
      <w:r w:rsidR="00F464B0" w:rsidRPr="00465605">
        <w:rPr>
          <w:rFonts w:asciiTheme="minorHAnsi" w:hAnsiTheme="minorHAnsi" w:cstheme="minorHAnsi"/>
          <w:sz w:val="21"/>
          <w:szCs w:val="21"/>
        </w:rPr>
        <w:t xml:space="preserve">obniżenie Narodowego Celu Wskaźnikowego do poziomu możliwego do realizacji za pomocą obligatoryjnego </w:t>
      </w:r>
      <w:proofErr w:type="spellStart"/>
      <w:r w:rsidR="00F464B0" w:rsidRPr="00465605">
        <w:rPr>
          <w:rFonts w:asciiTheme="minorHAnsi" w:hAnsiTheme="minorHAnsi" w:cstheme="minorHAnsi"/>
          <w:sz w:val="21"/>
          <w:szCs w:val="21"/>
        </w:rPr>
        <w:t>blendingu</w:t>
      </w:r>
      <w:proofErr w:type="spellEnd"/>
      <w:r w:rsidR="00F464B0" w:rsidRPr="00465605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2A3FC7" w:rsidRPr="00465605" w:rsidRDefault="002A3FC7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Wprowadzenie 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blendingu</w:t>
      </w:r>
      <w:proofErr w:type="spellEnd"/>
      <w:r w:rsidRPr="00465605">
        <w:rPr>
          <w:rFonts w:asciiTheme="minorHAnsi" w:hAnsiTheme="minorHAnsi" w:cstheme="minorHAnsi"/>
          <w:sz w:val="21"/>
          <w:szCs w:val="21"/>
        </w:rPr>
        <w:t xml:space="preserve"> biopaliw zaawansowanych powinno zostać poprzedzone badaniami ich wpływu na dotychczas stosowane paliwa normatywne, a także analizą ich magazynowania i transportu.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1D2DE3" w:rsidRPr="00465605" w:rsidRDefault="00F464B0" w:rsidP="001D6114">
      <w:pPr>
        <w:widowControl w:val="0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 xml:space="preserve">Oleje i smary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Wprowadzenie pakietu energetycznego i pakietu przewozowego (SENT) nałożyło na przedsiębiorstwa, działające w sferze produkcji i obrotu olejami</w:t>
      </w:r>
      <w:r w:rsidR="004B3E0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smarowymi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nowe obowiązki sprawozdawcze, a także związane z zapasami obowiązkowymi. </w:t>
      </w:r>
      <w:r w:rsidR="008C737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P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odnosi </w:t>
      </w:r>
      <w:r w:rsidR="008C737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to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koszty operacyjne</w:t>
      </w:r>
      <w:r w:rsidR="008C737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branży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Sektor olejowy od lat zmaga się z procederem szarej strefy, polegającym na wprowadzaniu do obrotu olejów mineralnych (klasyfikowanych przez Nomenklaturę Scaloną w ramach grupy CN 2710) jako olejów syntetycznych (a zatem jako klasyfikowanych do grupy CN 3403). Jest to spowodowane tym, że  oleje  mineralne są  objęte efektywną stawką akcyzy w wysokości  1180 </w:t>
      </w:r>
      <w:r w:rsidR="00E47EC9">
        <w:rPr>
          <w:rFonts w:asciiTheme="minorHAnsi" w:eastAsiaTheme="minorHAnsi" w:hAnsiTheme="minorHAnsi" w:cstheme="minorHAnsi"/>
          <w:sz w:val="21"/>
          <w:szCs w:val="21"/>
          <w:lang w:eastAsia="en-US"/>
        </w:rPr>
        <w:t>PLN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/1000 litrów, zaś oleje syntetyczne – nie.  </w:t>
      </w:r>
    </w:p>
    <w:p w:rsidR="008C737D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Innym problemem pozostaje nielegalny obrót detaliczny olejami smarowymi, sprowadzanymi do Polski z państw, w których nie są one objęte podatkiem akcyzowym. Jest to skutkiem braku jednolitej polityki państw UE oraz Komisji Europejskiej w tym zakresie i sytuacji, w której w niektórych państwach – np. Polsce – oleje objęte są podatkiem akcyzowym, a co za tym idzie EMCS, zaś w innych nie. Zaburza to </w:t>
      </w:r>
      <w:r w:rsidR="00ED4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zarówno sens funkcjonowania samego systemu EMCS, który staje się względnie łatwy do obejścia, ale także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funkcjonowanie </w:t>
      </w:r>
      <w:r w:rsidR="00ED4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całego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rynku oraz ułatwia </w:t>
      </w:r>
      <w:r w:rsidR="00440F89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działalność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szarej strefy.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Również od lat obserwujemy zjawisko nielegalnego spalania zużytych olejów smarowych (tzw. olejów odpadowych bądź przepracowanych), co zakłóca działanie systemu odzysku, uderza w legalny obrót olejami opałowymi  oraz ma negatywny wpływ na jakość powietrza, a także stanowi naruszenie przepisów akcyzowych. </w:t>
      </w:r>
    </w:p>
    <w:p w:rsidR="008C737D" w:rsidRPr="00465605" w:rsidRDefault="008C737D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Opowiadamy się za przyjęciem rozwiązań, minimalizujących negatywne skutki wprowadzenia pakietu energetycznego i SENT dla branży olejów smarowych – z zachowaniem ich ochronnej funkcji dla rynku paliw płynnych.</w:t>
      </w:r>
    </w:p>
    <w:p w:rsidR="005527A3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lastRenderedPageBreak/>
        <w:t>W celu ograniczenia szarej strefy w obrocie olejami p</w:t>
      </w:r>
      <w:r w:rsidR="005527A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onawiamy postulat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wprowadzeni</w:t>
      </w:r>
      <w:r w:rsidR="005527A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a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jednolitej stawki podatku akcyzowego na oleje smarowe „syntetyczne” (CN 3403) oraz mineralne (CN 2710) z założeniem, że nowa wartość jednolitego podatku będzie wyliczona jako średnia ważona z obciążenia podatkiem obu kodów CN 2710 i CN 3403 - tak, by sumaryczna wartość akcyzy w branży olejowej pozostała na </w:t>
      </w:r>
      <w:r w:rsidR="005527A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poziomie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zbliżonym</w:t>
      </w:r>
      <w:r w:rsidR="005527A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do obecnego.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Postulujemy też </w:t>
      </w:r>
      <w:r w:rsidR="004B3E0D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zaostrzenie kontroli wprowadzania na rynek olejów smarowych, sprowadzanych z zagranicy z naruszeniem przepisów akcyzowych. Krajowa Administracja Skarbowa powinna monitorować oferty handlowe – w tym zamieszczane na platformach internetowych</w:t>
      </w:r>
      <w:r w:rsidR="00440F89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Uważamy, że kompleksowe rozwiązanie problemu będzie możliwe tylko pod warunkiem objęcia olejów </w:t>
      </w:r>
      <w:r w:rsidR="00E9765B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systemem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EMCS w całej Unii Europejskiej</w:t>
      </w:r>
      <w:r w:rsidR="00ED4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co stanie się dużo bardziej realne wobec planowanego na rok 2019 </w:t>
      </w:r>
      <w:proofErr w:type="spellStart"/>
      <w:r w:rsidR="00ED4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Brexitu</w:t>
      </w:r>
      <w:proofErr w:type="spellEnd"/>
      <w:r w:rsidR="00ED4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, gdyż opuszczenie UE przez Wielką Brytanię spowoduje utratę tzw. </w:t>
      </w:r>
      <w:r w:rsidR="005A1A82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m</w:t>
      </w:r>
      <w:r w:rsidR="00ED4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niejszości blokującej przez przeciwników tej koncepcji.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Służby ochrony środowiska oraz KAS powinny zdecydowanie aktywniej zwalczać proceder spalania olejów przepracowanych, gdyż tylko w ten sposób można zagwarantować uzyskanie wymaganego poziomu odzysku</w:t>
      </w:r>
      <w:r w:rsidR="00C23D3A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oraz wspierać ogólne wysiłki na rzecz poprawy jakości powietrza, efektywnoś</w:t>
      </w:r>
      <w:r w:rsidR="00AA01E7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ci energetycznej i gospodarki w </w:t>
      </w:r>
      <w:r w:rsidR="00C23D3A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obiegu zamkniętym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</w:p>
    <w:p w:rsidR="005527A3" w:rsidRPr="00465605" w:rsidRDefault="005527A3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Rozwiązaniem problemów dotyczących obrotu olejami smarowymi byłoby przyjęcie kompleksowej regulacji w ramach prac nad tzw. II pakietem energetycznym.</w:t>
      </w:r>
    </w:p>
    <w:p w:rsidR="00DC6342" w:rsidRPr="00465605" w:rsidRDefault="00DC6342" w:rsidP="00DE34AB">
      <w:p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DC6342" w:rsidRPr="00465605" w:rsidRDefault="00DC6342" w:rsidP="00DE34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Regulacje dotyczące rynku paliw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Wprowadzenie skutecznych rozwiązań w obszarze walki z szarą strefą (pakiet paliwowy, pakiet energetyczny, pakiet przewozowy) – aczkolwiek przyczyniło się do rozwiązania głównych problemów sektora paliw płynnych – uwypukliło problemy, z którymi branża zmaga się od lat, a mianowicie brak jednolitego nadzoru, brak regulatora nadzorującego wyłącznie branżę paliwową, niespójność poszczególnych aktów prawnych (przepisy 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bio</w:t>
      </w:r>
      <w:proofErr w:type="spellEnd"/>
      <w:r w:rsidRPr="00465605">
        <w:rPr>
          <w:rFonts w:asciiTheme="minorHAnsi" w:hAnsiTheme="minorHAnsi" w:cstheme="minorHAnsi"/>
          <w:sz w:val="21"/>
          <w:szCs w:val="21"/>
        </w:rPr>
        <w:t xml:space="preserve">, jakościowe, o zapasach, SENT, przepisy techniczne i budowlane, przepisy akcyzowe etc.), a także brak </w:t>
      </w:r>
      <w:r w:rsidR="004B3E0D" w:rsidRPr="00465605">
        <w:rPr>
          <w:rFonts w:asciiTheme="minorHAnsi" w:hAnsiTheme="minorHAnsi" w:cstheme="minorHAnsi"/>
          <w:sz w:val="21"/>
          <w:szCs w:val="21"/>
        </w:rPr>
        <w:t xml:space="preserve">agregacji, </w:t>
      </w:r>
      <w:r w:rsidRPr="00465605">
        <w:rPr>
          <w:rFonts w:asciiTheme="minorHAnsi" w:hAnsiTheme="minorHAnsi" w:cstheme="minorHAnsi"/>
          <w:sz w:val="21"/>
          <w:szCs w:val="21"/>
        </w:rPr>
        <w:t>ujednolicenia i 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d</w:t>
      </w:r>
      <w:r w:rsidR="00440F89" w:rsidRPr="00465605">
        <w:rPr>
          <w:rFonts w:asciiTheme="minorHAnsi" w:hAnsiTheme="minorHAnsi" w:cstheme="minorHAnsi"/>
          <w:sz w:val="21"/>
          <w:szCs w:val="21"/>
        </w:rPr>
        <w:t>y</w:t>
      </w:r>
      <w:r w:rsidRPr="00465605">
        <w:rPr>
          <w:rFonts w:asciiTheme="minorHAnsi" w:hAnsiTheme="minorHAnsi" w:cstheme="minorHAnsi"/>
          <w:sz w:val="21"/>
          <w:szCs w:val="21"/>
        </w:rPr>
        <w:t>gitalizacji</w:t>
      </w:r>
      <w:proofErr w:type="spellEnd"/>
      <w:r w:rsidRPr="00465605">
        <w:rPr>
          <w:rFonts w:asciiTheme="minorHAnsi" w:hAnsiTheme="minorHAnsi" w:cstheme="minorHAnsi"/>
          <w:sz w:val="21"/>
          <w:szCs w:val="21"/>
        </w:rPr>
        <w:t xml:space="preserve"> danych, przekazywanych do poszczególnych instytucji.</w:t>
      </w:r>
    </w:p>
    <w:p w:rsidR="006B4F17" w:rsidRPr="00465605" w:rsidRDefault="006B4F17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widowControl w:val="0"/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P</w:t>
      </w:r>
      <w:r w:rsidR="006B4F17" w:rsidRPr="00465605">
        <w:rPr>
          <w:rFonts w:asciiTheme="minorHAnsi" w:hAnsiTheme="minorHAnsi" w:cstheme="minorHAnsi"/>
          <w:sz w:val="21"/>
          <w:szCs w:val="21"/>
        </w:rPr>
        <w:t>onawiamy postulat podjęcia prac n</w:t>
      </w:r>
      <w:r w:rsidRPr="00465605">
        <w:rPr>
          <w:rFonts w:asciiTheme="minorHAnsi" w:hAnsiTheme="minorHAnsi" w:cstheme="minorHAnsi"/>
          <w:sz w:val="21"/>
          <w:szCs w:val="21"/>
        </w:rPr>
        <w:t>ad zapisami Prawa naftowego</w:t>
      </w:r>
      <w:r w:rsidR="006B4F17" w:rsidRPr="00465605">
        <w:rPr>
          <w:rFonts w:asciiTheme="minorHAnsi" w:hAnsiTheme="minorHAnsi" w:cstheme="minorHAnsi"/>
          <w:sz w:val="21"/>
          <w:szCs w:val="21"/>
        </w:rPr>
        <w:t xml:space="preserve"> jako kompleksowej regulacji rynku paliw ciekłych w Polsce</w:t>
      </w:r>
      <w:r w:rsidRPr="00465605">
        <w:rPr>
          <w:rFonts w:asciiTheme="minorHAnsi" w:hAnsiTheme="minorHAnsi" w:cstheme="minorHAnsi"/>
          <w:sz w:val="21"/>
          <w:szCs w:val="21"/>
        </w:rPr>
        <w:t>, któr</w:t>
      </w:r>
      <w:r w:rsidR="006B4F17" w:rsidRPr="00465605">
        <w:rPr>
          <w:rFonts w:asciiTheme="minorHAnsi" w:hAnsiTheme="minorHAnsi" w:cstheme="minorHAnsi"/>
          <w:sz w:val="21"/>
          <w:szCs w:val="21"/>
        </w:rPr>
        <w:t>a</w:t>
      </w:r>
      <w:r w:rsidRPr="00465605">
        <w:rPr>
          <w:rFonts w:asciiTheme="minorHAnsi" w:hAnsiTheme="minorHAnsi" w:cstheme="minorHAnsi"/>
          <w:sz w:val="21"/>
          <w:szCs w:val="21"/>
        </w:rPr>
        <w:t xml:space="preserve"> miał</w:t>
      </w:r>
      <w:r w:rsidR="006B4F17" w:rsidRPr="00465605">
        <w:rPr>
          <w:rFonts w:asciiTheme="minorHAnsi" w:hAnsiTheme="minorHAnsi" w:cstheme="minorHAnsi"/>
          <w:sz w:val="21"/>
          <w:szCs w:val="21"/>
        </w:rPr>
        <w:t>a</w:t>
      </w:r>
      <w:r w:rsidRPr="00465605">
        <w:rPr>
          <w:rFonts w:asciiTheme="minorHAnsi" w:hAnsiTheme="minorHAnsi" w:cstheme="minorHAnsi"/>
          <w:sz w:val="21"/>
          <w:szCs w:val="21"/>
        </w:rPr>
        <w:t>by zawierać jednolite definicje i regulacje dotyczące wprowadzania paliw płynnych na rynek, w tym przepis</w:t>
      </w:r>
      <w:r w:rsidR="004B3E0D" w:rsidRPr="00465605">
        <w:rPr>
          <w:rFonts w:asciiTheme="minorHAnsi" w:hAnsiTheme="minorHAnsi" w:cstheme="minorHAnsi"/>
          <w:sz w:val="21"/>
          <w:szCs w:val="21"/>
        </w:rPr>
        <w:t>y</w:t>
      </w:r>
      <w:r w:rsidRPr="00465605">
        <w:rPr>
          <w:rFonts w:asciiTheme="minorHAnsi" w:hAnsiTheme="minorHAnsi" w:cstheme="minorHAnsi"/>
          <w:sz w:val="21"/>
          <w:szCs w:val="21"/>
        </w:rPr>
        <w:t xml:space="preserve"> jakościow</w:t>
      </w:r>
      <w:r w:rsidR="004B3E0D" w:rsidRPr="00465605">
        <w:rPr>
          <w:rFonts w:asciiTheme="minorHAnsi" w:hAnsiTheme="minorHAnsi" w:cstheme="minorHAnsi"/>
          <w:sz w:val="21"/>
          <w:szCs w:val="21"/>
        </w:rPr>
        <w:t>e</w:t>
      </w:r>
      <w:r w:rsidRPr="00465605">
        <w:rPr>
          <w:rFonts w:asciiTheme="minorHAnsi" w:hAnsiTheme="minorHAnsi" w:cstheme="minorHAnsi"/>
          <w:sz w:val="21"/>
          <w:szCs w:val="21"/>
        </w:rPr>
        <w:t>, o zapasach, opła</w:t>
      </w:r>
      <w:r w:rsidR="004B3E0D" w:rsidRPr="00465605">
        <w:rPr>
          <w:rFonts w:asciiTheme="minorHAnsi" w:hAnsiTheme="minorHAnsi" w:cstheme="minorHAnsi"/>
          <w:sz w:val="21"/>
          <w:szCs w:val="21"/>
        </w:rPr>
        <w:t>cie</w:t>
      </w:r>
      <w:r w:rsidRPr="00465605">
        <w:rPr>
          <w:rFonts w:asciiTheme="minorHAnsi" w:hAnsiTheme="minorHAnsi" w:cstheme="minorHAnsi"/>
          <w:sz w:val="21"/>
          <w:szCs w:val="21"/>
        </w:rPr>
        <w:t xml:space="preserve"> paliwowej etc., a także wprowadzać elektroniczną formę baz i rejestrów – najlepiej w postaci jednolitej platformy</w:t>
      </w:r>
      <w:r w:rsidR="006E2290" w:rsidRPr="00465605">
        <w:rPr>
          <w:rFonts w:asciiTheme="minorHAnsi" w:hAnsiTheme="minorHAnsi" w:cstheme="minorHAnsi"/>
          <w:sz w:val="21"/>
          <w:szCs w:val="21"/>
        </w:rPr>
        <w:t xml:space="preserve"> cyfrowej</w:t>
      </w:r>
      <w:r w:rsidRPr="00465605">
        <w:rPr>
          <w:rFonts w:asciiTheme="minorHAnsi" w:hAnsiTheme="minorHAnsi" w:cstheme="minorHAnsi"/>
          <w:sz w:val="21"/>
          <w:szCs w:val="21"/>
        </w:rPr>
        <w:t>. Elementem nowych rozwiązań powinno być wprowadzenie jednolitego nadzoru nad branżą (regulator rynku). Przygotowanie projektu powinno być powierzone zespołowi roboczemu z udziałem przedstawicieli administracji i organizacji branżowych sektora paliwowego.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Elementem regulacji powinno być powołanie urzędu – regulatora branży paliwowej, sprawującego nadzór nad produkcją, logistyką i obrotem paliwami.   </w:t>
      </w:r>
    </w:p>
    <w:p w:rsidR="00311F76" w:rsidRPr="00465605" w:rsidRDefault="00311F76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Niezbędne jest dalsze wzmocnienie URE jako organu koordynującego nadzór nad branżą, doskonalenie współpracy horyzontalnej poszczególnych instytucji, pełna </w:t>
      </w:r>
      <w:proofErr w:type="spellStart"/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d</w:t>
      </w:r>
      <w:r w:rsidR="00440F89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y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gitalizacja</w:t>
      </w:r>
      <w:proofErr w:type="spellEnd"/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danych i scalenie ich w jednym systemie – tzw. platformie paliwowej, </w:t>
      </w:r>
      <w:r w:rsidRPr="00465605">
        <w:rPr>
          <w:rFonts w:asciiTheme="minorHAnsi" w:hAnsiTheme="minorHAnsi" w:cstheme="minorHAnsi"/>
          <w:sz w:val="21"/>
          <w:szCs w:val="21"/>
        </w:rPr>
        <w:t>a także pełne wykorzystanie narzędzi, jakie dają przepisy prawa. Postulujemy uszczelnienie procesu koncesyjnego i doskonalenie rozwiązań, przyjętych w poszczególnych pakietach. W tym celu pożądane jest dokonanie analizy efektyw</w:t>
      </w:r>
      <w:r w:rsidR="00596F98" w:rsidRPr="00465605">
        <w:rPr>
          <w:rFonts w:asciiTheme="minorHAnsi" w:hAnsiTheme="minorHAnsi" w:cstheme="minorHAnsi"/>
          <w:sz w:val="21"/>
          <w:szCs w:val="21"/>
        </w:rPr>
        <w:t>ności wprowadzonych rozwiązań i </w:t>
      </w:r>
      <w:r w:rsidR="006E2290" w:rsidRPr="00465605">
        <w:rPr>
          <w:rFonts w:asciiTheme="minorHAnsi" w:hAnsiTheme="minorHAnsi" w:cstheme="minorHAnsi"/>
          <w:sz w:val="21"/>
          <w:szCs w:val="21"/>
        </w:rPr>
        <w:t xml:space="preserve">wypracowanie </w:t>
      </w:r>
      <w:r w:rsidRPr="00465605">
        <w:rPr>
          <w:rFonts w:asciiTheme="minorHAnsi" w:hAnsiTheme="minorHAnsi" w:cstheme="minorHAnsi"/>
          <w:sz w:val="21"/>
          <w:szCs w:val="21"/>
        </w:rPr>
        <w:t xml:space="preserve">zmian mających na celu usunięcie dostrzeżonych niedoskonałości, co dotyczy np. niektórych przepisów pakietu energetycznego i rozporządzeń wykonawczych wydanych na jego podstawie. </w:t>
      </w:r>
    </w:p>
    <w:p w:rsidR="006B4F17" w:rsidRPr="00465605" w:rsidRDefault="006B4F17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:rsidR="00DC6342" w:rsidRPr="00465605" w:rsidRDefault="00DC6342" w:rsidP="00DE34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Kradzieże na stacjach paliw</w:t>
      </w:r>
    </w:p>
    <w:p w:rsidR="00EA373E" w:rsidRPr="00465605" w:rsidRDefault="00EA373E" w:rsidP="00EA373E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hAnsiTheme="minorHAnsi" w:cstheme="minorHAnsi"/>
          <w:sz w:val="21"/>
          <w:szCs w:val="21"/>
          <w:lang w:eastAsia="en-US"/>
        </w:rPr>
        <w:t xml:space="preserve">W 2018 roku weszła w życie nowelizacja Kodeksu Wykroczeń  i innych ustaw. W jej ramach do przepisów dodano m.in. modyfikację Kodeksu </w:t>
      </w:r>
      <w:r w:rsidR="006E2290" w:rsidRPr="00465605">
        <w:rPr>
          <w:rFonts w:asciiTheme="minorHAnsi" w:hAnsiTheme="minorHAnsi" w:cstheme="minorHAnsi"/>
          <w:sz w:val="21"/>
          <w:szCs w:val="21"/>
          <w:lang w:eastAsia="en-US"/>
        </w:rPr>
        <w:t>K</w:t>
      </w:r>
      <w:r w:rsidRPr="00465605">
        <w:rPr>
          <w:rFonts w:asciiTheme="minorHAnsi" w:hAnsiTheme="minorHAnsi" w:cstheme="minorHAnsi"/>
          <w:sz w:val="21"/>
          <w:szCs w:val="21"/>
          <w:lang w:eastAsia="en-US"/>
        </w:rPr>
        <w:t>arnego, zgodnie z którą "odpowiada jak za jeden czyn zabroniony wyczerpujący znamiona przestępstwa ten, kto w krótkich odstępach czasu, przy wykorzystaniu tej samej albo takiej samej sposobności lub w podobny sposób popełnia dwa lub więcej umyślnych wykroczeń przeciwko mieniu, jeżeli łączna wartość mienia uzasadnia odpowiedzialność za p</w:t>
      </w:r>
      <w:r w:rsidR="00596F98" w:rsidRPr="00465605">
        <w:rPr>
          <w:rFonts w:asciiTheme="minorHAnsi" w:hAnsiTheme="minorHAnsi" w:cstheme="minorHAnsi"/>
          <w:sz w:val="21"/>
          <w:szCs w:val="21"/>
          <w:lang w:eastAsia="en-US"/>
        </w:rPr>
        <w:t>rzestępstwo". Zdecydowano też o </w:t>
      </w:r>
      <w:r w:rsidRPr="00465605">
        <w:rPr>
          <w:rFonts w:asciiTheme="minorHAnsi" w:hAnsiTheme="minorHAnsi" w:cstheme="minorHAnsi"/>
          <w:sz w:val="21"/>
          <w:szCs w:val="21"/>
          <w:lang w:eastAsia="en-US"/>
        </w:rPr>
        <w:t>utworzeniu</w:t>
      </w:r>
      <w:r w:rsidR="00C23D3A" w:rsidRPr="00465605">
        <w:rPr>
          <w:rFonts w:asciiTheme="minorHAnsi" w:hAnsiTheme="minorHAnsi" w:cstheme="minorHAnsi"/>
          <w:sz w:val="21"/>
          <w:szCs w:val="21"/>
          <w:lang w:eastAsia="en-US"/>
        </w:rPr>
        <w:t xml:space="preserve"> wyczekiwanego od wielu lat przez środowiska handlowe</w:t>
      </w:r>
      <w:r w:rsidRPr="00465605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465605">
        <w:rPr>
          <w:rFonts w:asciiTheme="minorHAnsi" w:hAnsiTheme="minorHAnsi" w:cstheme="minorHAnsi"/>
          <w:b/>
          <w:sz w:val="21"/>
          <w:szCs w:val="21"/>
          <w:lang w:eastAsia="en-US"/>
        </w:rPr>
        <w:t>elektronicznego rejestru sprawców wykroczeń przeciwko mieniu</w:t>
      </w:r>
      <w:r w:rsidR="006E2290" w:rsidRPr="00465605">
        <w:rPr>
          <w:rFonts w:asciiTheme="minorHAnsi" w:hAnsiTheme="minorHAnsi" w:cstheme="minorHAnsi"/>
          <w:sz w:val="21"/>
          <w:szCs w:val="21"/>
          <w:lang w:eastAsia="en-US"/>
        </w:rPr>
        <w:t xml:space="preserve"> -</w:t>
      </w:r>
      <w:r w:rsidRPr="00465605">
        <w:rPr>
          <w:rFonts w:asciiTheme="minorHAnsi" w:hAnsiTheme="minorHAnsi" w:cstheme="minorHAnsi"/>
          <w:sz w:val="21"/>
          <w:szCs w:val="21"/>
          <w:lang w:eastAsia="en-US"/>
        </w:rPr>
        <w:t xml:space="preserve"> osób podejrzanych o popełnienie takich wykroczeń, obwinionych i ukaranych. Rejestr ma służyć policji, prokuraturze i sądom do tego, by „zawodowi” złodzieje, popełniający drobne </w:t>
      </w:r>
      <w:r w:rsidRPr="00465605">
        <w:rPr>
          <w:rFonts w:asciiTheme="minorHAnsi" w:hAnsiTheme="minorHAnsi" w:cstheme="minorHAnsi"/>
          <w:sz w:val="21"/>
          <w:szCs w:val="21"/>
          <w:lang w:eastAsia="en-US"/>
        </w:rPr>
        <w:lastRenderedPageBreak/>
        <w:t>kradzieże np. w różnych miastach, nie odpowiadali za pojedyncze wykroczenia, lecz zsumowane przestępstwo.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Nadal nierozwiązany zostaje </w:t>
      </w:r>
      <w:r w:rsidRPr="00465605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problem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465605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zapewnienia bezpieczeństwa podróżnym, korzystającym z parkingów w Miejscach Obsługi Podróżnych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  <w:r w:rsidRPr="00465605">
        <w:rPr>
          <w:rFonts w:asciiTheme="minorHAnsi" w:hAnsiTheme="minorHAnsi" w:cstheme="minorHAnsi"/>
          <w:sz w:val="21"/>
          <w:szCs w:val="21"/>
        </w:rPr>
        <w:t xml:space="preserve">Szczególny niepokój budzi profesjonalizacja środowiska </w:t>
      </w:r>
      <w:r w:rsidR="00596F98" w:rsidRPr="00465605">
        <w:rPr>
          <w:rFonts w:asciiTheme="minorHAnsi" w:hAnsiTheme="minorHAnsi" w:cstheme="minorHAnsi"/>
          <w:sz w:val="21"/>
          <w:szCs w:val="21"/>
        </w:rPr>
        <w:t>handlarzy i </w:t>
      </w:r>
      <w:r w:rsidRPr="00465605">
        <w:rPr>
          <w:rFonts w:asciiTheme="minorHAnsi" w:hAnsiTheme="minorHAnsi" w:cstheme="minorHAnsi"/>
          <w:sz w:val="21"/>
          <w:szCs w:val="21"/>
        </w:rPr>
        <w:t xml:space="preserve">złodziei, wyrażająca się tworzeniem coraz większych i lepiej zorganizowanych, wyspecjalizowanych grup przestępczych trudniących się tym procederem. Dotyczy to </w:t>
      </w:r>
      <w:r w:rsidR="00E47EC9">
        <w:rPr>
          <w:rFonts w:asciiTheme="minorHAnsi" w:hAnsiTheme="minorHAnsi" w:cstheme="minorHAnsi"/>
          <w:sz w:val="21"/>
          <w:szCs w:val="21"/>
        </w:rPr>
        <w:t>okradania</w:t>
      </w:r>
      <w:r w:rsidR="001F59E9" w:rsidRPr="00465605">
        <w:rPr>
          <w:rFonts w:asciiTheme="minorHAnsi" w:hAnsiTheme="minorHAnsi" w:cstheme="minorHAnsi"/>
          <w:sz w:val="21"/>
          <w:szCs w:val="21"/>
        </w:rPr>
        <w:t xml:space="preserve"> ciężarówek, korzystających z parkingów, ale też </w:t>
      </w:r>
      <w:r w:rsidRPr="00465605">
        <w:rPr>
          <w:rFonts w:asciiTheme="minorHAnsi" w:hAnsiTheme="minorHAnsi" w:cstheme="minorHAnsi"/>
          <w:sz w:val="21"/>
          <w:szCs w:val="21"/>
        </w:rPr>
        <w:t xml:space="preserve">prowadzenia nielegalnego handlu, często podrabianymi bądź kradzionymi towarami. </w:t>
      </w:r>
    </w:p>
    <w:p w:rsidR="001F59E9" w:rsidRPr="00465605" w:rsidRDefault="001F59E9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widowControl w:val="0"/>
        <w:tabs>
          <w:tab w:val="left" w:pos="2700"/>
        </w:tabs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  <w:r w:rsidRPr="00465605">
        <w:rPr>
          <w:rFonts w:asciiTheme="minorHAnsi" w:hAnsiTheme="minorHAnsi" w:cstheme="minorHAnsi"/>
          <w:b/>
          <w:sz w:val="21"/>
          <w:szCs w:val="21"/>
        </w:rPr>
        <w:tab/>
      </w:r>
    </w:p>
    <w:p w:rsidR="00F464B0" w:rsidRPr="00465605" w:rsidRDefault="001F59E9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Konieczna jest obserwacja wpływu przyjętych rozwiązań prawnych na środowisko przestępców, dokonujących kradzieży w punktach handlowych, w tym na stacjach paliw. Poprawie sytuacji sprzyjałoby przyśpieszenie trybu rozpatrywania spraw kradzieży sklepowych przez kolegia ds. wykroczeń oraz sądy. </w:t>
      </w:r>
    </w:p>
    <w:p w:rsidR="001F59E9" w:rsidRPr="00465605" w:rsidRDefault="001F59E9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celu poprawy bezpieczeństwa w Miejscach Obsługi Podróżnych należy powołać wyspecjalizowaną jednostkę Policji – tzw. Policję Autostradową, która zajmowałaby się bezpieczeństwem ruchu drogowego oraz bezpieczeństwem podróżnych, korzystających z MOP na autostradach i drogach szybkiego ruchu. </w:t>
      </w:r>
    </w:p>
    <w:p w:rsidR="001F59E9" w:rsidRPr="00465605" w:rsidRDefault="001F59E9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D2DE3" w:rsidRPr="00465605" w:rsidRDefault="00DC6342" w:rsidP="001D6114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Handel na stacjach paliw towarami </w:t>
      </w:r>
      <w:proofErr w:type="spellStart"/>
      <w:r w:rsidRPr="00465605">
        <w:rPr>
          <w:rFonts w:asciiTheme="minorHAnsi" w:hAnsiTheme="minorHAnsi" w:cstheme="minorHAnsi"/>
          <w:b/>
          <w:bCs/>
          <w:sz w:val="21"/>
          <w:szCs w:val="21"/>
        </w:rPr>
        <w:t>pozapaliwowymi</w:t>
      </w:r>
      <w:proofErr w:type="spellEnd"/>
      <w:r w:rsidRPr="00465605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Sprzedaż towarów 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pozapaliwowych</w:t>
      </w:r>
      <w:proofErr w:type="spellEnd"/>
      <w:r w:rsidRPr="00465605">
        <w:rPr>
          <w:rFonts w:asciiTheme="minorHAnsi" w:hAnsiTheme="minorHAnsi" w:cstheme="minorHAnsi"/>
          <w:sz w:val="21"/>
          <w:szCs w:val="21"/>
        </w:rPr>
        <w:t xml:space="preserve"> odgrywa coraz większą rolę w funkcjonowaniu stacji paliw, stanowiąc znaczną część dochodów, a także sprzyja przekształcaniu stacji w centrum świadczenia usług dla klientów. Oczekuje się, że ta rola będzie rosnąć wraz ze wzrostem udziału paliw alternatywnych w transporcie. Stacje odgrywają szczególną funkcję w zaspokajaniu podstawowych potrzeb gospodarki i społeczeństwa. W odniesieniu do podróżnych, przemieszczających się samochodem, spełniają one analogiczne funkcje jak dworce kolejowe i autobusowe oraz porty rzeczne, morskie i lotnicze dla innych rodzajów transportu. Na stacjach paliw prowadzona jest bowiem kompleksowa obsługa podróżnych – oprócz tankowania paliwa kierowcy i pasażerowie korzystają z toalet, miejsc wypoczynku, dokonują zakupu posiłków w restauracjach i barach szybkiej obsługi, </w:t>
      </w:r>
      <w:r w:rsidR="006E2290" w:rsidRPr="00465605">
        <w:rPr>
          <w:rFonts w:asciiTheme="minorHAnsi" w:hAnsiTheme="minorHAnsi" w:cstheme="minorHAnsi"/>
          <w:sz w:val="21"/>
          <w:szCs w:val="21"/>
        </w:rPr>
        <w:t xml:space="preserve">dokonują zakupów w </w:t>
      </w:r>
      <w:r w:rsidRPr="00465605">
        <w:rPr>
          <w:rFonts w:asciiTheme="minorHAnsi" w:hAnsiTheme="minorHAnsi" w:cstheme="minorHAnsi"/>
          <w:sz w:val="21"/>
          <w:szCs w:val="21"/>
        </w:rPr>
        <w:t>sklepach etc. Przy wielu drogach jedyna ogólnodostępna infrastruktura (np. toalety, woda bieżąca) ulokowana jest właśnie na stacjach paliw. To również miejsca służące bezpieczeństwu ruchu drogowego poprzez zapewnienie możliwości</w:t>
      </w:r>
      <w:r w:rsidR="00AA01E7" w:rsidRPr="00465605">
        <w:rPr>
          <w:rFonts w:asciiTheme="minorHAnsi" w:hAnsiTheme="minorHAnsi" w:cstheme="minorHAnsi"/>
          <w:sz w:val="21"/>
          <w:szCs w:val="21"/>
        </w:rPr>
        <w:t xml:space="preserve"> wypoczynku, czy zaopatrzenia w </w:t>
      </w:r>
      <w:r w:rsidRPr="00465605">
        <w:rPr>
          <w:rFonts w:asciiTheme="minorHAnsi" w:hAnsiTheme="minorHAnsi" w:cstheme="minorHAnsi"/>
          <w:sz w:val="21"/>
          <w:szCs w:val="21"/>
        </w:rPr>
        <w:t>niezbędne towary eksploatacyjne do pojazdów – często jedyne czynne w święta</w:t>
      </w:r>
      <w:r w:rsidR="006E2290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czy dni wolne od pracy. Stacje paliw stanowią też naturalne zaplecze wsparcia  w sytuacjach nadzwyczajnych. Są tym samym</w:t>
      </w:r>
      <w:r w:rsidR="006E2290" w:rsidRPr="00465605">
        <w:rPr>
          <w:rFonts w:asciiTheme="minorHAnsi" w:hAnsiTheme="minorHAnsi" w:cstheme="minorHAnsi"/>
          <w:sz w:val="21"/>
          <w:szCs w:val="21"/>
        </w:rPr>
        <w:t xml:space="preserve"> </w:t>
      </w:r>
      <w:r w:rsidRPr="00465605">
        <w:rPr>
          <w:rFonts w:asciiTheme="minorHAnsi" w:hAnsiTheme="minorHAnsi" w:cstheme="minorHAnsi"/>
          <w:sz w:val="21"/>
          <w:szCs w:val="21"/>
        </w:rPr>
        <w:t>istotnym elementem zapewnienia bezpieczeństwa i porządku publicznego. Doświadczenie wykazuje, że w stanach klęsk żywiołowych sprawnie działająca sieć stacji pozwala funkcjonować zarówno pojazdom służb porządkowych i ratunkowych (Policja, Straż Pożarna, Pogotowie Ratunkowe, itp.), jak i dotkniętej kataklizmem ludności, która ma możliwość zaopatrzenia w podstawowe produkty.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Z tego względu wszelkie inicjatywy, zmierzające do</w:t>
      </w:r>
      <w:r w:rsidR="00BA4223" w:rsidRPr="00465605">
        <w:rPr>
          <w:rFonts w:asciiTheme="minorHAnsi" w:hAnsiTheme="minorHAnsi" w:cstheme="minorHAnsi"/>
          <w:sz w:val="21"/>
          <w:szCs w:val="21"/>
        </w:rPr>
        <w:t xml:space="preserve"> </w:t>
      </w:r>
      <w:r w:rsidRPr="00465605">
        <w:rPr>
          <w:rFonts w:asciiTheme="minorHAnsi" w:hAnsiTheme="minorHAnsi" w:cstheme="minorHAnsi"/>
          <w:sz w:val="21"/>
          <w:szCs w:val="21"/>
        </w:rPr>
        <w:t xml:space="preserve">ograniczenia </w:t>
      </w:r>
      <w:r w:rsidR="00BA4223" w:rsidRPr="00465605">
        <w:rPr>
          <w:rFonts w:asciiTheme="minorHAnsi" w:hAnsiTheme="minorHAnsi" w:cstheme="minorHAnsi"/>
          <w:sz w:val="21"/>
          <w:szCs w:val="21"/>
        </w:rPr>
        <w:t xml:space="preserve">oferowanego </w:t>
      </w:r>
      <w:r w:rsidRPr="00465605">
        <w:rPr>
          <w:rFonts w:asciiTheme="minorHAnsi" w:hAnsiTheme="minorHAnsi" w:cstheme="minorHAnsi"/>
          <w:sz w:val="21"/>
          <w:szCs w:val="21"/>
        </w:rPr>
        <w:t>asortymentu</w:t>
      </w:r>
      <w:r w:rsidR="007309FB">
        <w:rPr>
          <w:rFonts w:asciiTheme="minorHAnsi" w:hAnsiTheme="minorHAnsi" w:cstheme="minorHAnsi"/>
          <w:sz w:val="21"/>
          <w:szCs w:val="21"/>
        </w:rPr>
        <w:t xml:space="preserve">, </w:t>
      </w:r>
      <w:r w:rsidRPr="00465605">
        <w:rPr>
          <w:rFonts w:asciiTheme="minorHAnsi" w:hAnsiTheme="minorHAnsi" w:cstheme="minorHAnsi"/>
          <w:sz w:val="21"/>
          <w:szCs w:val="21"/>
        </w:rPr>
        <w:t xml:space="preserve">stanowią zagrożenie </w:t>
      </w:r>
      <w:r w:rsidR="006E2290" w:rsidRPr="00465605">
        <w:rPr>
          <w:rFonts w:asciiTheme="minorHAnsi" w:hAnsiTheme="minorHAnsi" w:cstheme="minorHAnsi"/>
          <w:sz w:val="21"/>
          <w:szCs w:val="21"/>
        </w:rPr>
        <w:t xml:space="preserve">zarówno </w:t>
      </w:r>
      <w:r w:rsidRPr="00465605">
        <w:rPr>
          <w:rFonts w:asciiTheme="minorHAnsi" w:hAnsiTheme="minorHAnsi" w:cstheme="minorHAnsi"/>
          <w:sz w:val="21"/>
          <w:szCs w:val="21"/>
        </w:rPr>
        <w:t>dla</w:t>
      </w:r>
      <w:r w:rsidR="00BA4223" w:rsidRPr="00465605">
        <w:rPr>
          <w:rFonts w:asciiTheme="minorHAnsi" w:hAnsiTheme="minorHAnsi" w:cstheme="minorHAnsi"/>
          <w:sz w:val="21"/>
          <w:szCs w:val="21"/>
        </w:rPr>
        <w:t xml:space="preserve"> </w:t>
      </w:r>
      <w:r w:rsidRPr="00465605">
        <w:rPr>
          <w:rFonts w:asciiTheme="minorHAnsi" w:hAnsiTheme="minorHAnsi" w:cstheme="minorHAnsi"/>
          <w:sz w:val="21"/>
          <w:szCs w:val="21"/>
        </w:rPr>
        <w:t>firm prowadzących stacje paliw</w:t>
      </w:r>
      <w:r w:rsidR="006E2290" w:rsidRPr="00465605">
        <w:rPr>
          <w:rFonts w:asciiTheme="minorHAnsi" w:hAnsiTheme="minorHAnsi" w:cstheme="minorHAnsi"/>
          <w:sz w:val="21"/>
          <w:szCs w:val="21"/>
        </w:rPr>
        <w:t>, jak dla odbiorców ich usług</w:t>
      </w:r>
      <w:r w:rsidRPr="00465605">
        <w:rPr>
          <w:rFonts w:asciiTheme="minorHAnsi" w:hAnsiTheme="minorHAnsi" w:cstheme="minorHAnsi"/>
          <w:sz w:val="21"/>
          <w:szCs w:val="21"/>
        </w:rPr>
        <w:t>. Ewentualne zmiany doprowadziłyby do wzrostu ceny sprzedawanego paliwa, a także eliminacji części stacji z rynku.</w:t>
      </w:r>
    </w:p>
    <w:p w:rsidR="00BA4223" w:rsidRPr="00465605" w:rsidRDefault="00BA422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1"/>
          <w:szCs w:val="21"/>
          <w:u w:val="single"/>
        </w:rPr>
      </w:pPr>
      <w:r w:rsidRPr="00465605">
        <w:rPr>
          <w:rFonts w:asciiTheme="minorHAnsi" w:eastAsiaTheme="minorHAnsi" w:hAnsiTheme="minorHAnsi" w:cstheme="minorHAnsi"/>
          <w:b/>
          <w:sz w:val="21"/>
          <w:szCs w:val="21"/>
          <w:u w:val="single"/>
        </w:rPr>
        <w:t>Kwestia sprzedaży wyrobów alkoholowych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W okresach znacznych wahań marży wiele stacji paliw może kontynuować działalność głównie dzięki sprzedaży towarów i usług 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pozapaliwowych</w:t>
      </w:r>
      <w:proofErr w:type="spellEnd"/>
      <w:r w:rsidRPr="00465605">
        <w:rPr>
          <w:rFonts w:asciiTheme="minorHAnsi" w:hAnsiTheme="minorHAnsi" w:cstheme="minorHAnsi"/>
          <w:sz w:val="21"/>
          <w:szCs w:val="21"/>
        </w:rPr>
        <w:t>, w tym alkoholu. Należy pamiętać, że na cenę paliw wpływają w dużym stopniu obciążenia o charakterze podatkowym i tym podobnym; średnio w roku 201</w:t>
      </w:r>
      <w:r w:rsidR="00DA79C8" w:rsidRPr="00465605">
        <w:rPr>
          <w:rFonts w:asciiTheme="minorHAnsi" w:hAnsiTheme="minorHAnsi" w:cstheme="minorHAnsi"/>
          <w:sz w:val="21"/>
          <w:szCs w:val="21"/>
        </w:rPr>
        <w:t>8</w:t>
      </w:r>
      <w:r w:rsidRPr="00465605">
        <w:rPr>
          <w:rFonts w:asciiTheme="minorHAnsi" w:hAnsiTheme="minorHAnsi" w:cstheme="minorHAnsi"/>
          <w:sz w:val="21"/>
          <w:szCs w:val="21"/>
        </w:rPr>
        <w:t xml:space="preserve"> stanowiły one 5</w:t>
      </w:r>
      <w:r w:rsidR="00DA79C8" w:rsidRPr="00465605">
        <w:rPr>
          <w:rFonts w:asciiTheme="minorHAnsi" w:hAnsiTheme="minorHAnsi" w:cstheme="minorHAnsi"/>
          <w:sz w:val="21"/>
          <w:szCs w:val="21"/>
        </w:rPr>
        <w:t>3</w:t>
      </w:r>
      <w:r w:rsidRPr="00465605">
        <w:rPr>
          <w:rFonts w:asciiTheme="minorHAnsi" w:hAnsiTheme="minorHAnsi" w:cstheme="minorHAnsi"/>
          <w:sz w:val="21"/>
          <w:szCs w:val="21"/>
        </w:rPr>
        <w:t xml:space="preserve">% ceny benzyny 95, </w:t>
      </w:r>
      <w:r w:rsidR="00DA79C8" w:rsidRPr="00465605">
        <w:rPr>
          <w:rFonts w:asciiTheme="minorHAnsi" w:hAnsiTheme="minorHAnsi" w:cstheme="minorHAnsi"/>
          <w:sz w:val="21"/>
          <w:szCs w:val="21"/>
        </w:rPr>
        <w:t>49</w:t>
      </w:r>
      <w:r w:rsidRPr="00465605">
        <w:rPr>
          <w:rFonts w:asciiTheme="minorHAnsi" w:hAnsiTheme="minorHAnsi" w:cstheme="minorHAnsi"/>
          <w:sz w:val="21"/>
          <w:szCs w:val="21"/>
        </w:rPr>
        <w:t>% ceny oleju napędowego i 4</w:t>
      </w:r>
      <w:r w:rsidR="00DA79C8" w:rsidRPr="00465605">
        <w:rPr>
          <w:rFonts w:asciiTheme="minorHAnsi" w:hAnsiTheme="minorHAnsi" w:cstheme="minorHAnsi"/>
          <w:sz w:val="21"/>
          <w:szCs w:val="21"/>
        </w:rPr>
        <w:t>0</w:t>
      </w:r>
      <w:r w:rsidRPr="00465605">
        <w:rPr>
          <w:rFonts w:asciiTheme="minorHAnsi" w:hAnsiTheme="minorHAnsi" w:cstheme="minorHAnsi"/>
          <w:sz w:val="21"/>
          <w:szCs w:val="21"/>
        </w:rPr>
        <w:t xml:space="preserve">% ceny autogazu. 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Badania rynkowe przeprowadzone w </w:t>
      </w:r>
      <w:r w:rsidR="00DA79C8" w:rsidRPr="00465605">
        <w:rPr>
          <w:rFonts w:asciiTheme="minorHAnsi" w:hAnsiTheme="minorHAnsi" w:cstheme="minorHAnsi"/>
          <w:sz w:val="21"/>
          <w:szCs w:val="21"/>
        </w:rPr>
        <w:t xml:space="preserve">latach ubiegłych </w:t>
      </w:r>
      <w:r w:rsidRPr="00465605">
        <w:rPr>
          <w:rFonts w:asciiTheme="minorHAnsi" w:hAnsiTheme="minorHAnsi" w:cstheme="minorHAnsi"/>
          <w:sz w:val="21"/>
          <w:szCs w:val="21"/>
        </w:rPr>
        <w:t xml:space="preserve">pokazały, że niewiele ponad 3% mocnych alkoholi klienci kupują na stacjach paliw (z tendencją spadkową). W przypadku piwa </w:t>
      </w:r>
      <w:r w:rsidR="00DA79C8" w:rsidRPr="00465605">
        <w:rPr>
          <w:rFonts w:asciiTheme="minorHAnsi" w:hAnsiTheme="minorHAnsi" w:cstheme="minorHAnsi"/>
          <w:sz w:val="21"/>
          <w:szCs w:val="21"/>
        </w:rPr>
        <w:t xml:space="preserve">było </w:t>
      </w:r>
      <w:r w:rsidRPr="00465605">
        <w:rPr>
          <w:rFonts w:asciiTheme="minorHAnsi" w:hAnsiTheme="minorHAnsi" w:cstheme="minorHAnsi"/>
          <w:sz w:val="21"/>
          <w:szCs w:val="21"/>
        </w:rPr>
        <w:t xml:space="preserve">to niecałe 4%, również mniej niż </w:t>
      </w:r>
      <w:r w:rsidR="00DA79C8" w:rsidRPr="00465605">
        <w:rPr>
          <w:rFonts w:asciiTheme="minorHAnsi" w:hAnsiTheme="minorHAnsi" w:cstheme="minorHAnsi"/>
          <w:sz w:val="21"/>
          <w:szCs w:val="21"/>
        </w:rPr>
        <w:t>poprzednio</w:t>
      </w:r>
      <w:r w:rsidRPr="00465605">
        <w:rPr>
          <w:rFonts w:asciiTheme="minorHAnsi" w:hAnsiTheme="minorHAnsi" w:cstheme="minorHAnsi"/>
          <w:sz w:val="21"/>
          <w:szCs w:val="21"/>
        </w:rPr>
        <w:t>. Ponadto, właśnie na stacjach paliw – ze względu na używane systemy monitoringu – istnieje najlepsza egzekucja przepisów, zabraniających sprzedaży alkoholu osobom nietrzeźwym i nieletnim. Doświadczenia tych państw, w których wprowadzono całkowity lub częściowy zakaz sprzedaży alkoholu na stacjach paliw (Holandia, Belgia)</w:t>
      </w:r>
      <w:r w:rsidR="00E47EC9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wskazują na brak jakiejkolwiek zależności między dostępnością alkoholu na stacjach, a liczbą nietrzeźwych kierowców. </w:t>
      </w:r>
    </w:p>
    <w:p w:rsidR="001D2DE3" w:rsidRPr="00465605" w:rsidRDefault="001D2DE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tabs>
          <w:tab w:val="left" w:pos="2694"/>
        </w:tabs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65605">
        <w:rPr>
          <w:rFonts w:asciiTheme="minorHAnsi" w:hAnsiTheme="minorHAnsi" w:cstheme="minorHAnsi"/>
          <w:b/>
          <w:sz w:val="21"/>
          <w:szCs w:val="21"/>
          <w:u w:val="single"/>
        </w:rPr>
        <w:t>Handel lekami bez recepty</w:t>
      </w:r>
    </w:p>
    <w:p w:rsidR="00F464B0" w:rsidRPr="00465605" w:rsidRDefault="00F464B0" w:rsidP="00DE34AB">
      <w:pPr>
        <w:tabs>
          <w:tab w:val="left" w:pos="2694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Na stacjach oferowane są wyłącznie podstawowe leki – takie, których poszukują nabywcy w celu doraźnej pomocy. Z możliwości zakupu </w:t>
      </w:r>
      <w:r w:rsidR="00DA79C8" w:rsidRPr="00465605">
        <w:rPr>
          <w:rFonts w:asciiTheme="minorHAnsi" w:hAnsiTheme="minorHAnsi" w:cstheme="minorHAnsi"/>
          <w:sz w:val="21"/>
          <w:szCs w:val="21"/>
        </w:rPr>
        <w:t>w takich miejscach</w:t>
      </w:r>
      <w:r w:rsidRPr="00465605">
        <w:rPr>
          <w:rFonts w:asciiTheme="minorHAnsi" w:hAnsiTheme="minorHAnsi" w:cstheme="minorHAnsi"/>
          <w:sz w:val="21"/>
          <w:szCs w:val="21"/>
        </w:rPr>
        <w:t xml:space="preserve"> korzysta wielu kierowców i pasażerów, a także okolicznych </w:t>
      </w:r>
      <w:r w:rsidRPr="00465605">
        <w:rPr>
          <w:rFonts w:asciiTheme="minorHAnsi" w:hAnsiTheme="minorHAnsi" w:cstheme="minorHAnsi"/>
          <w:sz w:val="21"/>
          <w:szCs w:val="21"/>
        </w:rPr>
        <w:lastRenderedPageBreak/>
        <w:t>mieszkańców, zwłaszcza w małych miejscowościach i na terenach wiejskic</w:t>
      </w:r>
      <w:r w:rsidR="00465605">
        <w:rPr>
          <w:rFonts w:asciiTheme="minorHAnsi" w:hAnsiTheme="minorHAnsi" w:cstheme="minorHAnsi"/>
          <w:sz w:val="21"/>
          <w:szCs w:val="21"/>
        </w:rPr>
        <w:t>h. Sprzedaż leków bez recepty w </w:t>
      </w:r>
      <w:r w:rsidRPr="00465605">
        <w:rPr>
          <w:rFonts w:asciiTheme="minorHAnsi" w:hAnsiTheme="minorHAnsi" w:cstheme="minorHAnsi"/>
          <w:sz w:val="21"/>
          <w:szCs w:val="21"/>
        </w:rPr>
        <w:t xml:space="preserve">takich lokalizacjach stanowi realizację prawa pacjentów do możliwie szybkiego i bezproblemowego dostępu do leków. Ma to szczególne znaczenie w </w:t>
      </w:r>
      <w:r w:rsidR="00DA79C8" w:rsidRPr="00465605">
        <w:rPr>
          <w:rFonts w:asciiTheme="minorHAnsi" w:hAnsiTheme="minorHAnsi" w:cstheme="minorHAnsi"/>
          <w:sz w:val="21"/>
          <w:szCs w:val="21"/>
        </w:rPr>
        <w:t xml:space="preserve">nagłych przypadkach, w </w:t>
      </w:r>
      <w:r w:rsidRPr="00465605">
        <w:rPr>
          <w:rFonts w:asciiTheme="minorHAnsi" w:hAnsiTheme="minorHAnsi" w:cstheme="minorHAnsi"/>
          <w:sz w:val="21"/>
          <w:szCs w:val="21"/>
        </w:rPr>
        <w:t xml:space="preserve">godzinach nocnych oraz w dni wolne od pracy. </w:t>
      </w:r>
    </w:p>
    <w:p w:rsidR="00F464B0" w:rsidRPr="00465605" w:rsidRDefault="00F464B0" w:rsidP="00DE34AB">
      <w:pPr>
        <w:tabs>
          <w:tab w:val="left" w:pos="2694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Sprzedaż leków bez recepty stanowi nikły procent obrotu stacji paliw  i nie wpływa zasadniczo na ich sytuację ekonomiczną. Z drugiej strony dystrybucja tej kategorii towarów jest istotnym wsparciem sprzedaży dla małych, niezależnych stacji, zlokalizowanych często na terenach wiejskich. Obecny model 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pozaaptecznej</w:t>
      </w:r>
      <w:proofErr w:type="spellEnd"/>
      <w:r w:rsidRPr="00465605">
        <w:rPr>
          <w:rFonts w:asciiTheme="minorHAnsi" w:hAnsiTheme="minorHAnsi" w:cstheme="minorHAnsi"/>
          <w:sz w:val="21"/>
          <w:szCs w:val="21"/>
        </w:rPr>
        <w:t xml:space="preserve"> sprzedaży leków bez recepty ma w Polsce ugruntowaną tradycję. Wielkość sprzedaży leków na stacjach paliw utrzymuje się na stabilnym poziomie od wielu lat, zaś ich asortyment jest z reguły ograniczony do poniżej 30 produktów. Leki sprzedawane na stacjach pochodzą z hurtowni farmaceutycznych i mają postać minimalnej dawki leczniczej, pakowanej w opakowania, wystarczające na 1-1,5 dnia stosowania leku. Praktyka potwierdza, że w przypadku konieczności zakupu leków bez recepty w większej ilości</w:t>
      </w:r>
      <w:r w:rsidR="00DA79C8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czy też dawce, klienci kierują się do aptek. </w:t>
      </w:r>
    </w:p>
    <w:p w:rsidR="00F464B0" w:rsidRPr="00465605" w:rsidRDefault="00F464B0" w:rsidP="00DE34AB">
      <w:pPr>
        <w:tabs>
          <w:tab w:val="left" w:pos="2694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widowControl w:val="0"/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Uważamy za niezbędne uświadomienie konsumentom i decydentom, że stacja paliw przestaje być punktem sprzedaży paliwa, a staje się punktem świadczenia zróżnicowanych usług konsumenckich</w:t>
      </w:r>
      <w:r w:rsidR="00BA4223" w:rsidRPr="00465605">
        <w:rPr>
          <w:rFonts w:asciiTheme="minorHAnsi" w:hAnsiTheme="minorHAnsi" w:cstheme="minorHAnsi"/>
          <w:sz w:val="21"/>
          <w:szCs w:val="21"/>
        </w:rPr>
        <w:t>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Oczekujemy, że ceny na rynku paliw będą kształtowane wyłącznie przez czynniki ekonomiczne, a przyjmowane regulacje prawne nie będą powodowały dalszego nieuzasadnionego wzrostu cen. Sprzeciwiamy się jakimkolwiek działaniom, mogącym spowodować ograniczenie zakresu świadczonych usług i sprzedawanych na stacjach towarów, np. poprzez ograniczenia w sprzedaży wyrobów alkoholowych czy leków. Jedynym wymiernym skutkiem wprowadzenia proponowanych ograniczeń byłoby pogorszenie sytuacji branży naftowej, a szczególnie operatorów stacji paliw działających jako stacje niezależne. Prowadzenie sprzedaży towarów innych niż paliwa umożliwia istnienie stacji paliw w obecnej ilości i w obecnym formacie rynkowym. Ograniczenie asortymentu skutkowałoby wzrostem kosztów ich prowadzenia i wzrostem cen paliw. </w:t>
      </w:r>
    </w:p>
    <w:p w:rsidR="00F464B0" w:rsidRPr="00465605" w:rsidRDefault="00BA422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E</w:t>
      </w:r>
      <w:r w:rsidR="00F464B0" w:rsidRPr="00465605">
        <w:rPr>
          <w:rFonts w:asciiTheme="minorHAnsi" w:hAnsiTheme="minorHAnsi" w:cstheme="minorHAnsi"/>
          <w:sz w:val="21"/>
          <w:szCs w:val="21"/>
        </w:rPr>
        <w:t xml:space="preserve">wentualne zmiany w zakresie zasad sprzedaży </w:t>
      </w:r>
      <w:r w:rsidRPr="00465605">
        <w:rPr>
          <w:rFonts w:asciiTheme="minorHAnsi" w:hAnsiTheme="minorHAnsi" w:cstheme="minorHAnsi"/>
          <w:sz w:val="21"/>
          <w:szCs w:val="21"/>
        </w:rPr>
        <w:t xml:space="preserve"> leków czy też </w:t>
      </w:r>
      <w:r w:rsidR="00F464B0" w:rsidRPr="00465605">
        <w:rPr>
          <w:rFonts w:asciiTheme="minorHAnsi" w:hAnsiTheme="minorHAnsi" w:cstheme="minorHAnsi"/>
          <w:sz w:val="21"/>
          <w:szCs w:val="21"/>
        </w:rPr>
        <w:t>wyrobów alkoholowych powinny dotyczyć całej sieci dystrybucji, a nie odnosić się wyłącznie do stacji paliw.</w:t>
      </w:r>
    </w:p>
    <w:p w:rsidR="001D6114" w:rsidRPr="00465605" w:rsidRDefault="001D6114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:rsidR="00DC6342" w:rsidRPr="00465605" w:rsidRDefault="00DC6342" w:rsidP="001D6114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Współpraca z FuelsEurope, konkurencyjność polskiego i europejskiego przemysłu rafineryjnego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W Unii Europejskiej toczy się debata nad kształtem długofalowej polityki energetyczno-klimatycznej i polityki transportowej w kontekście ograniczeni</w:t>
      </w:r>
      <w:r w:rsidR="00DA79C8" w:rsidRPr="00465605">
        <w:rPr>
          <w:rFonts w:asciiTheme="minorHAnsi" w:hAnsiTheme="minorHAnsi" w:cstheme="minorHAnsi"/>
          <w:sz w:val="21"/>
          <w:szCs w:val="21"/>
        </w:rPr>
        <w:t>a</w:t>
      </w:r>
      <w:r w:rsidRPr="00465605">
        <w:rPr>
          <w:rFonts w:asciiTheme="minorHAnsi" w:hAnsiTheme="minorHAnsi" w:cstheme="minorHAnsi"/>
          <w:sz w:val="21"/>
          <w:szCs w:val="21"/>
        </w:rPr>
        <w:t>/eliminacji emisji gazów cieplarnianych związanych z transportem. Dostosowanie się do wymagań gospodarki niskowęglowej jest  poważnym wyzwaniem dla europejskiego przemysłu rafineryjnego. Wyzwanie to podjęły grupy ekspertów europejskich firm naftowych, które wypracowują zarówno sposoby ograniczania emisji gazów cieplarnianych w procesie wytwarzania paliw silnikowych</w:t>
      </w:r>
      <w:r w:rsidR="00440F89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jak i koncepcję „niskowęglowych” paliw transportowych. Niestety</w:t>
      </w:r>
      <w:r w:rsidR="00440F89" w:rsidRPr="00465605">
        <w:rPr>
          <w:rFonts w:asciiTheme="minorHAnsi" w:hAnsiTheme="minorHAnsi" w:cstheme="minorHAnsi"/>
          <w:sz w:val="21"/>
          <w:szCs w:val="21"/>
        </w:rPr>
        <w:t>,</w:t>
      </w:r>
      <w:r w:rsidRPr="00465605">
        <w:rPr>
          <w:rFonts w:asciiTheme="minorHAnsi" w:hAnsiTheme="minorHAnsi" w:cstheme="minorHAnsi"/>
          <w:sz w:val="21"/>
          <w:szCs w:val="21"/>
        </w:rPr>
        <w:t xml:space="preserve"> w debacie politycznej na forum UE często dominują postawy abstrahujące od zasad neutralności technologicznej i optymalizacji kosztów ekonomicznych, środowiskowych i społecznych. Powyższe skutkuje in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tensyfikacją działań</w:t>
      </w:r>
      <w:r w:rsidRPr="00465605">
        <w:rPr>
          <w:rFonts w:asciiTheme="minorHAnsi" w:eastAsiaTheme="minorHAnsi" w:hAnsiTheme="minorHAnsi" w:cstheme="minorHAnsi"/>
          <w:strike/>
          <w:sz w:val="21"/>
          <w:szCs w:val="21"/>
          <w:lang w:eastAsia="en-US"/>
        </w:rPr>
        <w:t>,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związanych z wypracowaniem polityk oraz regulacji nakładających na europejski przemysł rafineryjny ogromne obciążenia i obniżające jego konkurencyjność</w:t>
      </w:r>
      <w:r w:rsidR="00BA422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</w:p>
    <w:p w:rsidR="00F464B0" w:rsidRPr="00465605" w:rsidRDefault="00BA422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W</w:t>
      </w:r>
      <w:r w:rsidR="00F464B0" w:rsidRPr="00465605">
        <w:rPr>
          <w:rFonts w:asciiTheme="minorHAnsi" w:hAnsiTheme="minorHAnsi" w:cstheme="minorHAnsi"/>
          <w:sz w:val="21"/>
          <w:szCs w:val="21"/>
        </w:rPr>
        <w:t xml:space="preserve"> ramach UE funkcjonuje instytucja Forum Rafineryjnego, skupiająca przedstawicieli przemysłu, administracji UE i krajów członkowskich, a wypracowane tam wspólnie rozwiązania będą miały bezpośredni wpływ na przyszłość branży rafineryjnej w Europie. Powinny one uwzględniać fakt, że w średniej perspektywie ropa naftowa pozostanie głównym nośnikiem energii do zastosowań w transporcie. Nieprzemyślane regulacje prawne, nieuwzględniające interesu nie tylko branży rafineryjnej, ale też związanych z nią sektorów gospodarki, mogą doprowadzić do upadku sektora i przeniesienia produkcji poza granice Unii Europejskiej. Miałoby to wyjątkowo niekorzystne skutki dla całej gospodarki europejskiej, a także jej bezpieczeństwa energetycznego. Jest też klasycznym przykładem ucieczki emisji (</w:t>
      </w:r>
      <w:proofErr w:type="spellStart"/>
      <w:r w:rsidR="00F464B0" w:rsidRPr="00465605">
        <w:rPr>
          <w:rFonts w:asciiTheme="minorHAnsi" w:hAnsiTheme="minorHAnsi" w:cstheme="minorHAnsi"/>
          <w:sz w:val="21"/>
          <w:szCs w:val="21"/>
        </w:rPr>
        <w:t>carbon</w:t>
      </w:r>
      <w:proofErr w:type="spellEnd"/>
      <w:r w:rsidR="00F464B0" w:rsidRPr="0046560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464B0" w:rsidRPr="00465605">
        <w:rPr>
          <w:rFonts w:asciiTheme="minorHAnsi" w:hAnsiTheme="minorHAnsi" w:cstheme="minorHAnsi"/>
          <w:sz w:val="21"/>
          <w:szCs w:val="21"/>
        </w:rPr>
        <w:t>leakage</w:t>
      </w:r>
      <w:proofErr w:type="spellEnd"/>
      <w:r w:rsidR="00F464B0" w:rsidRPr="00465605">
        <w:rPr>
          <w:rFonts w:asciiTheme="minorHAnsi" w:hAnsiTheme="minorHAnsi" w:cstheme="minorHAnsi"/>
          <w:sz w:val="21"/>
          <w:szCs w:val="21"/>
        </w:rPr>
        <w:t xml:space="preserve">).  </w:t>
      </w:r>
    </w:p>
    <w:p w:rsidR="00BA4223" w:rsidRPr="00465605" w:rsidRDefault="00BA422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Europejskie Stowarzyszenie Przemysłu Rafineryjnego „FuelsEurope” we współpracy z ośrodkami badawczymi przygotowało „Wizję 2050” – perspektywę możliwości funkcjonowania sektora rafineryjnego i nowoczesnych, niskoemisyjnych paliw płynnych w transporcie do roku 2050. </w:t>
      </w:r>
      <w:r w:rsidR="00563EF1" w:rsidRPr="00465605">
        <w:rPr>
          <w:rFonts w:asciiTheme="minorHAnsi" w:hAnsiTheme="minorHAnsi" w:cstheme="minorHAnsi"/>
          <w:sz w:val="21"/>
          <w:szCs w:val="21"/>
        </w:rPr>
        <w:t xml:space="preserve">Główne konkluzje z raportu </w:t>
      </w:r>
      <w:proofErr w:type="spellStart"/>
      <w:r w:rsidR="00563EF1" w:rsidRPr="00465605">
        <w:rPr>
          <w:rFonts w:asciiTheme="minorHAnsi" w:hAnsiTheme="minorHAnsi" w:cstheme="minorHAnsi"/>
          <w:sz w:val="21"/>
          <w:szCs w:val="21"/>
        </w:rPr>
        <w:t>FuelsEurope</w:t>
      </w:r>
      <w:proofErr w:type="spellEnd"/>
      <w:r w:rsidR="00563EF1" w:rsidRPr="00465605">
        <w:rPr>
          <w:rFonts w:asciiTheme="minorHAnsi" w:hAnsiTheme="minorHAnsi" w:cstheme="minorHAnsi"/>
          <w:sz w:val="21"/>
          <w:szCs w:val="21"/>
        </w:rPr>
        <w:t xml:space="preserve"> są następujące:</w:t>
      </w:r>
    </w:p>
    <w:p w:rsidR="001D2DE3" w:rsidRDefault="001D2DE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03946" w:rsidRDefault="00003946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03946" w:rsidRPr="00465605" w:rsidRDefault="00003946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Zmiana klimatu wymaga pilnych i zdecydowanych działań</w:t>
      </w:r>
      <w:r w:rsidRPr="00465605">
        <w:rPr>
          <w:rFonts w:asciiTheme="minorHAnsi" w:hAnsiTheme="minorHAnsi" w:cstheme="minorHAnsi"/>
          <w:sz w:val="21"/>
          <w:szCs w:val="21"/>
        </w:rPr>
        <w:t xml:space="preserve"> we wszystkich sektorach gospodarki.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Węglowodorowe paliwa płynne pozostaną ważną częścią przyszłego systemu mobilności</w:t>
      </w:r>
      <w:r w:rsidRPr="00465605">
        <w:rPr>
          <w:rFonts w:asciiTheme="minorHAnsi" w:hAnsiTheme="minorHAnsi" w:cstheme="minorHAnsi"/>
          <w:sz w:val="21"/>
          <w:szCs w:val="21"/>
        </w:rPr>
        <w:t>, nawet jeżeli wzrośnie udział alternatywn</w:t>
      </w:r>
      <w:r w:rsidR="00CB6ADE" w:rsidRPr="00465605">
        <w:rPr>
          <w:rFonts w:asciiTheme="minorHAnsi" w:hAnsiTheme="minorHAnsi" w:cstheme="minorHAnsi"/>
          <w:sz w:val="21"/>
          <w:szCs w:val="21"/>
        </w:rPr>
        <w:t>ych</w:t>
      </w:r>
      <w:r w:rsidRPr="00465605">
        <w:rPr>
          <w:rFonts w:asciiTheme="minorHAnsi" w:hAnsiTheme="minorHAnsi" w:cstheme="minorHAnsi"/>
          <w:sz w:val="21"/>
          <w:szCs w:val="21"/>
        </w:rPr>
        <w:t xml:space="preserve"> źródeł energii. Popyt na produkty rafineryjne będzie rósł ze względu na globalny wzrost gospodarczy i demografię. Są ograniczenia dla zastosowania napędów elektrycznych w transporcie morskim, lotnictwie i pojazdach ciężkich: dla tych rodzajów transportu kluczowym wymogiem jest przechowywanie maksymalnej ilości energii w możliwie </w:t>
      </w:r>
      <w:r w:rsidR="00CB6ADE" w:rsidRPr="00465605">
        <w:rPr>
          <w:rFonts w:asciiTheme="minorHAnsi" w:hAnsiTheme="minorHAnsi" w:cstheme="minorHAnsi"/>
          <w:sz w:val="21"/>
          <w:szCs w:val="21"/>
        </w:rPr>
        <w:t xml:space="preserve">małej </w:t>
      </w:r>
      <w:r w:rsidR="001D6114" w:rsidRPr="00465605">
        <w:rPr>
          <w:rFonts w:asciiTheme="minorHAnsi" w:hAnsiTheme="minorHAnsi" w:cstheme="minorHAnsi"/>
          <w:sz w:val="21"/>
          <w:szCs w:val="21"/>
        </w:rPr>
        <w:t>objętości i </w:t>
      </w:r>
      <w:r w:rsidRPr="00465605">
        <w:rPr>
          <w:rFonts w:asciiTheme="minorHAnsi" w:hAnsiTheme="minorHAnsi" w:cstheme="minorHAnsi"/>
          <w:sz w:val="21"/>
          <w:szCs w:val="21"/>
        </w:rPr>
        <w:t xml:space="preserve">masie – paliwa ropopochodne mają tu znaczącą przewagę wobec np. baterii. 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Silniki spalinowe nadal będą odgrywać ważną rolę</w:t>
      </w:r>
      <w:r w:rsidRPr="00465605">
        <w:rPr>
          <w:rFonts w:asciiTheme="minorHAnsi" w:hAnsiTheme="minorHAnsi" w:cstheme="minorHAnsi"/>
          <w:sz w:val="21"/>
          <w:szCs w:val="21"/>
        </w:rPr>
        <w:t xml:space="preserve"> dla różnych sektorów transportu na nadchodzące </w:t>
      </w:r>
      <w:proofErr w:type="spellStart"/>
      <w:r w:rsidRPr="00465605">
        <w:rPr>
          <w:rFonts w:asciiTheme="minorHAnsi" w:hAnsiTheme="minorHAnsi" w:cstheme="minorHAnsi"/>
          <w:sz w:val="21"/>
          <w:szCs w:val="21"/>
        </w:rPr>
        <w:t>dziesię</w:t>
      </w:r>
      <w:r w:rsidRPr="00465605">
        <w:rPr>
          <w:rFonts w:asciiTheme="minorHAnsi" w:hAnsiTheme="minorHAnsi" w:cstheme="minorHAnsi"/>
          <w:sz w:val="21"/>
          <w:szCs w:val="21"/>
          <w:lang w:val="es-ES_tradnl"/>
        </w:rPr>
        <w:t>ciolecia</w:t>
      </w:r>
      <w:proofErr w:type="spellEnd"/>
      <w:r w:rsidRPr="00465605">
        <w:rPr>
          <w:rFonts w:asciiTheme="minorHAnsi" w:hAnsiTheme="minorHAnsi" w:cstheme="minorHAnsi"/>
          <w:sz w:val="21"/>
          <w:szCs w:val="21"/>
          <w:lang w:val="es-ES_tradnl"/>
        </w:rPr>
        <w:t>.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 xml:space="preserve">Opracowywanie i wdrażanie 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>niskoemisyjnych ciekłych paliw węglowodorowych daje możliwość skutecznego zaspokojenia popytu</w:t>
      </w:r>
      <w:r w:rsidRPr="00465605">
        <w:rPr>
          <w:rFonts w:asciiTheme="minorHAnsi" w:hAnsiTheme="minorHAnsi" w:cstheme="minorHAnsi"/>
          <w:sz w:val="21"/>
          <w:szCs w:val="21"/>
        </w:rPr>
        <w:t xml:space="preserve"> na paliwa ropopochodne, jednocześnie przyczyniając się </w:t>
      </w:r>
      <w:r w:rsidRPr="00465605">
        <w:rPr>
          <w:rFonts w:asciiTheme="minorHAnsi" w:hAnsiTheme="minorHAnsi" w:cstheme="minorHAnsi"/>
          <w:sz w:val="21"/>
          <w:szCs w:val="21"/>
          <w:lang w:val="pt-PT"/>
        </w:rPr>
        <w:t xml:space="preserve">do 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rozwiązania zagrożeń </w:t>
      </w:r>
      <w:r w:rsidR="00CB6ADE"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wpływających na 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>zmianę klimatu</w:t>
      </w:r>
      <w:r w:rsidRPr="00465605">
        <w:rPr>
          <w:rFonts w:asciiTheme="minorHAnsi" w:hAnsiTheme="minorHAnsi" w:cstheme="minorHAnsi"/>
          <w:sz w:val="21"/>
          <w:szCs w:val="21"/>
        </w:rPr>
        <w:t>.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Paliwa ciekłe o niskiej zawartości węglowodorów mogą zmniejszyć emisję CO</w:t>
      </w:r>
      <w:r w:rsidRPr="00465605">
        <w:rPr>
          <w:rFonts w:asciiTheme="minorHAnsi" w:hAnsiTheme="minorHAnsi" w:cstheme="minorHAnsi"/>
          <w:b/>
          <w:bCs/>
          <w:sz w:val="21"/>
          <w:szCs w:val="21"/>
          <w:vertAlign w:val="subscript"/>
        </w:rPr>
        <w:t xml:space="preserve">2 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>we wszystkich segmentach transportu w bardzo krótkim czasie</w:t>
      </w:r>
      <w:r w:rsidRPr="00465605">
        <w:rPr>
          <w:rFonts w:asciiTheme="minorHAnsi" w:hAnsiTheme="minorHAnsi" w:cstheme="minorHAnsi"/>
          <w:sz w:val="21"/>
          <w:szCs w:val="21"/>
        </w:rPr>
        <w:t>, z wykorzystaniem istniejącej floty pojazdów oraz istniejącej infrastruktury dla produkcji, dystrybucji i magazynowani</w:t>
      </w:r>
      <w:r w:rsidR="00CB6ADE" w:rsidRPr="00465605">
        <w:rPr>
          <w:rFonts w:asciiTheme="minorHAnsi" w:hAnsiTheme="minorHAnsi" w:cstheme="minorHAnsi"/>
          <w:sz w:val="21"/>
          <w:szCs w:val="21"/>
        </w:rPr>
        <w:t>a</w:t>
      </w:r>
      <w:r w:rsidRPr="00465605">
        <w:rPr>
          <w:rFonts w:asciiTheme="minorHAnsi" w:hAnsiTheme="minorHAnsi" w:cstheme="minorHAnsi"/>
          <w:sz w:val="21"/>
          <w:szCs w:val="21"/>
        </w:rPr>
        <w:t xml:space="preserve"> paliw (paliwa gazowe, paliwa syntetyczne, paliwa z udziałem komponentów biodegradowalnych). Istniejąca sieć dystrybucji paliw dla żeglugi, lotnictwa i transportu drogowego </w:t>
      </w:r>
      <w:r w:rsidR="00CB6ADE" w:rsidRPr="00465605">
        <w:rPr>
          <w:rFonts w:asciiTheme="minorHAnsi" w:hAnsiTheme="minorHAnsi" w:cstheme="minorHAnsi"/>
          <w:sz w:val="21"/>
          <w:szCs w:val="21"/>
        </w:rPr>
        <w:t xml:space="preserve">może </w:t>
      </w:r>
      <w:r w:rsidRPr="00465605">
        <w:rPr>
          <w:rFonts w:asciiTheme="minorHAnsi" w:hAnsiTheme="minorHAnsi" w:cstheme="minorHAnsi"/>
          <w:sz w:val="21"/>
          <w:szCs w:val="21"/>
        </w:rPr>
        <w:t>z łatwością przystosować się do przyszłego obniżenia emisji.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Znaczący potencjał ograniczenia emisji CO</w:t>
      </w:r>
      <w:r w:rsidRPr="00465605">
        <w:rPr>
          <w:rFonts w:asciiTheme="minorHAnsi" w:hAnsiTheme="minorHAnsi" w:cstheme="minorHAnsi"/>
          <w:b/>
          <w:bCs/>
          <w:sz w:val="21"/>
          <w:szCs w:val="21"/>
          <w:vertAlign w:val="subscript"/>
        </w:rPr>
        <w:t>2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 może pochodzić z poprawy infrastruktury oraz </w:t>
      </w:r>
      <w:r w:rsidR="001D6114" w:rsidRPr="00465605">
        <w:rPr>
          <w:rFonts w:asciiTheme="minorHAnsi" w:hAnsiTheme="minorHAnsi" w:cstheme="minorHAnsi"/>
          <w:b/>
          <w:bCs/>
          <w:sz w:val="21"/>
          <w:szCs w:val="21"/>
        </w:rPr>
        <w:t>z </w:t>
      </w:r>
      <w:r w:rsidRPr="00465605">
        <w:rPr>
          <w:rFonts w:asciiTheme="minorHAnsi" w:hAnsiTheme="minorHAnsi" w:cstheme="minorHAnsi"/>
          <w:b/>
          <w:bCs/>
          <w:sz w:val="21"/>
          <w:szCs w:val="21"/>
        </w:rPr>
        <w:t>operacyjnych usprawnień wynikających z konstrukcji pojazdów i wieku floty</w:t>
      </w:r>
      <w:r w:rsidRPr="00465605">
        <w:rPr>
          <w:rFonts w:asciiTheme="minorHAnsi" w:hAnsiTheme="minorHAnsi" w:cstheme="minorHAnsi"/>
          <w:sz w:val="21"/>
          <w:szCs w:val="21"/>
        </w:rPr>
        <w:t xml:space="preserve">: szybsze odnowienie floty, optymalizacja aerodynamiki (szczególnie w przypadku pojazdów ciężarowych, naczep), lepsza efektywność energetyczna opon, systemy odzysku energii hamowania, etc. 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>Dekarbonizacja transportu może i powinna być samofinansująca</w:t>
      </w:r>
      <w:r w:rsidRPr="00465605">
        <w:rPr>
          <w:rFonts w:asciiTheme="minorHAnsi" w:hAnsiTheme="minorHAnsi" w:cstheme="minorHAnsi"/>
          <w:sz w:val="21"/>
          <w:szCs w:val="21"/>
        </w:rPr>
        <w:t>. Należy zachować wysoką konkurencyjność europejskiego przemysłu rafineryjnego oraz</w:t>
      </w:r>
      <w:r w:rsidR="001D6114" w:rsidRPr="00465605">
        <w:rPr>
          <w:rFonts w:asciiTheme="minorHAnsi" w:hAnsiTheme="minorHAnsi" w:cstheme="minorHAnsi"/>
          <w:sz w:val="21"/>
          <w:szCs w:val="21"/>
        </w:rPr>
        <w:t xml:space="preserve"> branż powiązanych (chemiczna i </w:t>
      </w:r>
      <w:r w:rsidRPr="00465605">
        <w:rPr>
          <w:rFonts w:asciiTheme="minorHAnsi" w:hAnsiTheme="minorHAnsi" w:cstheme="minorHAnsi"/>
          <w:sz w:val="21"/>
          <w:szCs w:val="21"/>
        </w:rPr>
        <w:t xml:space="preserve">petrochemiczna). </w:t>
      </w:r>
    </w:p>
    <w:p w:rsidR="00563EF1" w:rsidRPr="00465605" w:rsidRDefault="00563EF1" w:rsidP="00563EF1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Należy zachować neutralność technologiczną </w:t>
      </w:r>
      <w:r w:rsidRPr="00465605">
        <w:rPr>
          <w:rFonts w:asciiTheme="minorHAnsi" w:hAnsiTheme="minorHAnsi" w:cstheme="minorHAnsi"/>
          <w:sz w:val="21"/>
          <w:szCs w:val="21"/>
        </w:rPr>
        <w:t>w pracach nad dekarb</w:t>
      </w:r>
      <w:r w:rsidR="001D6114" w:rsidRPr="00465605">
        <w:rPr>
          <w:rFonts w:asciiTheme="minorHAnsi" w:hAnsiTheme="minorHAnsi" w:cstheme="minorHAnsi"/>
          <w:sz w:val="21"/>
          <w:szCs w:val="21"/>
        </w:rPr>
        <w:t>onizacją transportu. W każdej z </w:t>
      </w:r>
      <w:r w:rsidRPr="00465605">
        <w:rPr>
          <w:rFonts w:asciiTheme="minorHAnsi" w:hAnsiTheme="minorHAnsi" w:cstheme="minorHAnsi"/>
          <w:sz w:val="21"/>
          <w:szCs w:val="21"/>
        </w:rPr>
        <w:t>lokalizacji możliwe są do zastosowania inne metody techniczno-ekonomiczne.</w:t>
      </w:r>
    </w:p>
    <w:p w:rsidR="00563EF1" w:rsidRPr="00465605" w:rsidRDefault="00563EF1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65605">
        <w:rPr>
          <w:rFonts w:asciiTheme="minorHAnsi" w:hAnsiTheme="minorHAnsi" w:cstheme="minorHAnsi"/>
          <w:b/>
          <w:sz w:val="21"/>
          <w:szCs w:val="21"/>
        </w:rPr>
        <w:t>Nasze stanowisko:</w:t>
      </w:r>
    </w:p>
    <w:p w:rsidR="00BA4223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Uważamy za niezbędne przeprowadzenie pełnej kalkulacji korzyści, jakie z funkcjonowania przemysłu rafineryjnego na swoim terenie ma Unia Europejska. Nowoczesne </w:t>
      </w:r>
      <w:r w:rsidR="00B13D51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paliwa, oleje i smary, a także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rozwiązania konstrukcyjne dla silników spalinowych powinny zostać docenione</w:t>
      </w:r>
      <w:r w:rsidR="00BA422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 p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odobnie </w:t>
      </w:r>
      <w:r w:rsidR="00BA422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jak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rola, jaką odgrywa europejski przemysł rafineryjny w całej gospodarce unijnej, a także polityce obronnej.  </w:t>
      </w:r>
    </w:p>
    <w:p w:rsidR="00CE51AC" w:rsidRPr="00465605" w:rsidRDefault="00CE51AC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CE51AC" w:rsidRPr="00465605" w:rsidRDefault="00CE51AC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Rozwiązania, zaprezentowane w „Wizji 2050”</w:t>
      </w:r>
      <w:r w:rsidR="00440F89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,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powinny służyć jako podstawa do ponownego podjęcia rzetelnej debaty nad przyszłością sektora rafineryjnego oraz transportu w UE.</w:t>
      </w:r>
    </w:p>
    <w:p w:rsidR="00BA4223" w:rsidRPr="00465605" w:rsidRDefault="00BA4223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D2DE3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Mamy nadzieję, że stanowisko polskiego rządu na forum UE będzie uwzględniało interes branży paliwowej </w:t>
      </w:r>
      <w:r w:rsidR="001D6114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w </w:t>
      </w:r>
      <w:r w:rsidR="001D2DE3"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maksymalnym możliwym stopniu.</w:t>
      </w:r>
    </w:p>
    <w:p w:rsidR="001D2DE3" w:rsidRPr="00465605" w:rsidRDefault="001D2DE3" w:rsidP="00DE34A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C6342" w:rsidRPr="00465605" w:rsidRDefault="00DC6342" w:rsidP="00DE34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465605">
        <w:rPr>
          <w:rFonts w:asciiTheme="minorHAnsi" w:hAnsiTheme="minorHAnsi" w:cstheme="minorHAnsi"/>
          <w:b/>
          <w:bCs/>
          <w:sz w:val="21"/>
          <w:szCs w:val="21"/>
        </w:rPr>
        <w:t>Elektromobilność</w:t>
      </w:r>
      <w:proofErr w:type="spellEnd"/>
      <w:r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 i paliwa alternatywne.</w:t>
      </w: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W ślad za rządami innych państw, 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>a także realizując dyrektywę dotyczącą rozbudowy infrastruktury paliw alternatywnych</w:t>
      </w:r>
      <w:r w:rsidR="00B13D51" w:rsidRPr="00465605">
        <w:rPr>
          <w:rFonts w:asciiTheme="minorHAnsi" w:eastAsiaTheme="minorHAnsi" w:hAnsiTheme="minorHAnsi" w:cstheme="minorHAnsi"/>
          <w:sz w:val="21"/>
          <w:szCs w:val="21"/>
        </w:rPr>
        <w:t>,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polski rząd podjął działania na rzecz wsparcia i upowszechnienia stosowania paliw alternatywnych i rozbudowy infrastruktury w tym zakresie. Przyjęto stosowne regulacje ustawowe, promujące </w:t>
      </w:r>
      <w:proofErr w:type="spellStart"/>
      <w:r w:rsidRPr="00465605">
        <w:rPr>
          <w:rFonts w:asciiTheme="minorHAnsi" w:eastAsiaTheme="minorHAnsi" w:hAnsiTheme="minorHAnsi" w:cstheme="minorHAnsi"/>
          <w:sz w:val="21"/>
          <w:szCs w:val="21"/>
        </w:rPr>
        <w:t>elektromobilność</w:t>
      </w:r>
      <w:proofErr w:type="spellEnd"/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, FCEV, PHEV, CNG, LNG i LPG. Promowane są wybrane technologie, bez uwzględnienia całości kosztów środowiskowych, ekonomicznych i społecznych – zwłaszcza w odniesieniu do istniejących technologii pojazdów elektrycznych. Działania na rzecz poprawy jakości powietrza w centrach miast nie uwzględniają stanu wiedzy na temat faktycznych przyczyn zanieczyszczeń i różnicy między emisją </w:t>
      </w:r>
      <w:r w:rsidR="001D6114" w:rsidRPr="00465605">
        <w:rPr>
          <w:rFonts w:asciiTheme="minorHAnsi" w:eastAsiaTheme="minorHAnsi" w:hAnsiTheme="minorHAnsi" w:cstheme="minorHAnsi"/>
          <w:sz w:val="21"/>
          <w:szCs w:val="21"/>
        </w:rPr>
        <w:t>z 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>silników diesla i benzynowych, a także stałego rozwoju silników spalinowych, w wyniku czego nowoczesne silniki, spełniające normę EURO 6, mają znikomą emisję spalin. Ponadto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 paliwa alternatywne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>nie rozwiąż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>ą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 problemu smogu, gdyż główny jego składnik – cząsteczki stałe (PM) – są w 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znacznej części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>emitowane poza silnikiem, przede wszystkim poprzez ścieranie się opon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, klocków hamulcowych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i nawierzchni drogi. Zależne to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lastRenderedPageBreak/>
        <w:t xml:space="preserve">jest 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również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od ciężaru pojazdu, a pojazdy elektryczne są znacznie cięższe od pojazdów spalinowych. Nie są też uwzględniane kwestie fiskalne, a mianowicie olbrzymi udział podatków od paliw w całości wpływów podatkowych.  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>Abstrahuje się przy tym od faktu, że po polskich drogach poruszają się tysiące pojazdów, niespełniających jakichkolwiek wymagań w zakresie ochrony środowiska</w:t>
      </w:r>
    </w:p>
    <w:p w:rsidR="00A063B0" w:rsidRPr="00465605" w:rsidRDefault="00A063B0" w:rsidP="00DE34AB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:rsidR="00F464B0" w:rsidRPr="00465605" w:rsidRDefault="00F464B0" w:rsidP="00DE34AB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b/>
          <w:sz w:val="21"/>
          <w:szCs w:val="21"/>
        </w:rPr>
        <w:t>Nasze stanowisko:</w:t>
      </w:r>
    </w:p>
    <w:p w:rsidR="00F464B0" w:rsidRPr="00465605" w:rsidRDefault="00F464B0" w:rsidP="00A063B0">
      <w:pPr>
        <w:spacing w:line="240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Działania na rzecz wsparcia upowszechnienia paliw alternatywnych powinny uwzględniać całość wiedzy na temat wpływu poszczególnych rodzajów napędów na środowisko w pełnym procesie produkcji, eksploatacji i utylizacji. Należy również 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mieć na uwadze 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wyzwania związane ze zbyt szybkim rozwojem </w:t>
      </w:r>
      <w:proofErr w:type="spellStart"/>
      <w:r w:rsidRPr="00465605">
        <w:rPr>
          <w:rFonts w:asciiTheme="minorHAnsi" w:eastAsiaTheme="minorHAnsi" w:hAnsiTheme="minorHAnsi" w:cstheme="minorHAnsi"/>
          <w:sz w:val="21"/>
          <w:szCs w:val="21"/>
        </w:rPr>
        <w:t>elektromobilności</w:t>
      </w:r>
      <w:proofErr w:type="spellEnd"/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 opartej na istniejących obecnie technologiach, takie jak brak odpowiednich mocy w energetyce, przestarzała sieć </w:t>
      </w:r>
      <w:proofErr w:type="spellStart"/>
      <w:r w:rsidRPr="00465605">
        <w:rPr>
          <w:rFonts w:asciiTheme="minorHAnsi" w:eastAsiaTheme="minorHAnsi" w:hAnsiTheme="minorHAnsi" w:cstheme="minorHAnsi"/>
          <w:sz w:val="21"/>
          <w:szCs w:val="21"/>
        </w:rPr>
        <w:t>przesyłu</w:t>
      </w:r>
      <w:proofErr w:type="spellEnd"/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, czy wreszcie fakt, że energia elektryczna w Polsce produkowana jest prawie w całości z węgla. </w:t>
      </w:r>
    </w:p>
    <w:p w:rsidR="007C6D96" w:rsidRPr="00465605" w:rsidRDefault="00F464B0" w:rsidP="00A063B0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eastAsiaTheme="minorHAnsi" w:hAnsiTheme="minorHAnsi" w:cstheme="minorHAnsi"/>
          <w:sz w:val="21"/>
          <w:szCs w:val="21"/>
        </w:rPr>
        <w:t>Wdrażając programy poprawy jakości powietrza władze samorządowe – oprócz inwestycji w pojazdy elektryczne - powinny brać pod uwagę również rozwiązania bardziej efektywne kosztowo, takie jak eliminacja ogrzewania węglem w rozproszonych instalacjach, eliminacja spalania odpadów – w tym olejów przepracowanych, rygorystyczne kontrole techniczne pojazdów pod kątem spełniania norm emisji, przewidzianych w homologacji dla danego typu, czy wreszcie zakup nowoczesnych autobusów z silnikami spalinowymi, s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pełniającymi normy Euro 6</w:t>
      </w:r>
      <w:r w:rsidRPr="00465605">
        <w:rPr>
          <w:rFonts w:asciiTheme="minorHAnsi" w:eastAsiaTheme="minorHAnsi" w:hAnsiTheme="minorHAnsi" w:cstheme="minorHAnsi"/>
          <w:sz w:val="21"/>
          <w:szCs w:val="21"/>
          <w:vertAlign w:val="subscript"/>
          <w:lang w:eastAsia="en-US"/>
        </w:rPr>
        <w:t xml:space="preserve">d </w:t>
      </w:r>
      <w:r w:rsidRPr="00465605">
        <w:rPr>
          <w:rFonts w:asciiTheme="minorHAnsi" w:eastAsiaTheme="minorHAnsi" w:hAnsiTheme="minorHAnsi" w:cstheme="minorHAnsi"/>
          <w:sz w:val="21"/>
          <w:szCs w:val="21"/>
          <w:lang w:eastAsia="en-US"/>
        </w:rPr>
        <w:t>– o kilkadziesiąt procent tańszych, niż autobusy elektryczne. Pojazdy te są szczególnie wydajne przy zastosowaniu przyjaznych dla środowiska zaawansowanych biopaliw.</w:t>
      </w:r>
      <w:r w:rsidRPr="00465605">
        <w:rPr>
          <w:rFonts w:asciiTheme="minorHAnsi" w:eastAsiaTheme="minorHAnsi" w:hAnsiTheme="minorHAnsi" w:cstheme="minorHAnsi"/>
          <w:sz w:val="21"/>
          <w:szCs w:val="21"/>
        </w:rPr>
        <w:t xml:space="preserve"> Uważamy</w:t>
      </w:r>
      <w:r w:rsidR="00A063B0" w:rsidRPr="00465605">
        <w:rPr>
          <w:rFonts w:asciiTheme="minorHAnsi" w:eastAsiaTheme="minorHAnsi" w:hAnsiTheme="minorHAnsi" w:cstheme="minorHAnsi"/>
          <w:sz w:val="21"/>
          <w:szCs w:val="21"/>
        </w:rPr>
        <w:t xml:space="preserve">, że przy dekarbonizacji transportu </w:t>
      </w:r>
      <w:r w:rsidR="00A063B0" w:rsidRPr="00465605">
        <w:rPr>
          <w:rFonts w:asciiTheme="minorHAnsi" w:hAnsiTheme="minorHAnsi" w:cstheme="minorHAnsi"/>
          <w:b/>
          <w:bCs/>
          <w:sz w:val="21"/>
          <w:szCs w:val="21"/>
        </w:rPr>
        <w:t>n</w:t>
      </w:r>
      <w:r w:rsidR="007C6D96" w:rsidRPr="00465605">
        <w:rPr>
          <w:rFonts w:asciiTheme="minorHAnsi" w:hAnsiTheme="minorHAnsi" w:cstheme="minorHAnsi"/>
          <w:b/>
          <w:bCs/>
          <w:sz w:val="21"/>
          <w:szCs w:val="21"/>
        </w:rPr>
        <w:t>ależy zachować neutralność technologiczną</w:t>
      </w:r>
      <w:r w:rsidR="00A063B0" w:rsidRPr="00465605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A063B0" w:rsidRPr="00465605">
        <w:rPr>
          <w:rFonts w:asciiTheme="minorHAnsi" w:hAnsiTheme="minorHAnsi" w:cstheme="minorHAnsi"/>
          <w:bCs/>
          <w:sz w:val="21"/>
          <w:szCs w:val="21"/>
        </w:rPr>
        <w:t xml:space="preserve">z uwzględnieniem specyfiki poszczególnych obszarów miejskich. </w:t>
      </w:r>
    </w:p>
    <w:p w:rsidR="000F421D" w:rsidRPr="00465605" w:rsidRDefault="007342D6" w:rsidP="00A063B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65605">
        <w:rPr>
          <w:rFonts w:asciiTheme="minorHAnsi" w:hAnsiTheme="minorHAnsi" w:cstheme="minorHAnsi"/>
          <w:sz w:val="21"/>
          <w:szCs w:val="21"/>
        </w:rPr>
        <w:t>Ponadto powinny zostać promowane rozwiązania, dzięki którym możliwa byłaby poprawa jakości powietrza w miastach szybko i możliwie niskim kosztem – na przykład klasyczne pojazdy hybrydowe.</w:t>
      </w:r>
    </w:p>
    <w:p w:rsidR="001D6114" w:rsidRPr="00465605" w:rsidRDefault="001D611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1D6114" w:rsidRPr="00465605" w:rsidSect="002731E4">
      <w:headerReference w:type="default" r:id="rId8"/>
      <w:footerReference w:type="even" r:id="rId9"/>
      <w:footerReference w:type="default" r:id="rId10"/>
      <w:type w:val="continuous"/>
      <w:pgSz w:w="11906" w:h="16838" w:code="9"/>
      <w:pgMar w:top="568" w:right="1274" w:bottom="709" w:left="1276" w:header="709" w:footer="5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63" w:rsidRDefault="00395163">
      <w:r>
        <w:separator/>
      </w:r>
    </w:p>
  </w:endnote>
  <w:endnote w:type="continuationSeparator" w:id="0">
    <w:p w:rsidR="00395163" w:rsidRDefault="0039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CD" w:rsidRDefault="00E242CD">
    <w:pPr>
      <w:pStyle w:val="Stopka"/>
      <w:jc w:val="right"/>
    </w:pPr>
  </w:p>
  <w:p w:rsidR="00D0590F" w:rsidRDefault="00D0590F" w:rsidP="007F5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596094"/>
      <w:docPartObj>
        <w:docPartGallery w:val="Page Numbers (Bottom of Page)"/>
        <w:docPartUnique/>
      </w:docPartObj>
    </w:sdtPr>
    <w:sdtEndPr/>
    <w:sdtContent>
      <w:p w:rsidR="00003946" w:rsidRDefault="00003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E592F" w:rsidRPr="008145B1" w:rsidRDefault="004E592F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63" w:rsidRDefault="00395163">
      <w:r>
        <w:separator/>
      </w:r>
    </w:p>
  </w:footnote>
  <w:footnote w:type="continuationSeparator" w:id="0">
    <w:p w:rsidR="00395163" w:rsidRDefault="0039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B9" w:rsidRDefault="00D73B39" w:rsidP="00B6511D">
    <w:pPr>
      <w:pStyle w:val="Nagwek"/>
      <w:ind w:left="-142"/>
      <w:jc w:val="left"/>
      <w:rPr>
        <w:rFonts w:ascii="Cambria" w:hAnsi="Cambria"/>
        <w:b/>
        <w:color w:val="1F497D"/>
        <w:sz w:val="18"/>
        <w:szCs w:val="18"/>
        <w:lang w:val="pl-PL"/>
      </w:rPr>
    </w:pPr>
    <w:r w:rsidRPr="006862BD">
      <w:rPr>
        <w:noProof/>
        <w:lang w:val="pl-PL"/>
      </w:rPr>
      <w:drawing>
        <wp:inline distT="0" distB="0" distL="0" distR="0">
          <wp:extent cx="2590800" cy="400050"/>
          <wp:effectExtent l="0" t="0" r="0" b="0"/>
          <wp:docPr id="1" name="Obraz 7" descr="Woj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oj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40C">
      <w:rPr>
        <w:noProof/>
        <w:lang w:val="pl-PL"/>
      </w:rPr>
      <w:t xml:space="preserve">                                                                </w:t>
    </w:r>
  </w:p>
  <w:p w:rsidR="00131162" w:rsidRPr="00707583" w:rsidRDefault="00131162" w:rsidP="005D46FB">
    <w:pPr>
      <w:pStyle w:val="Nagwek"/>
      <w:ind w:left="6480"/>
      <w:jc w:val="right"/>
      <w:rPr>
        <w:rFonts w:ascii="Cambria" w:hAnsi="Cambria"/>
        <w:b/>
        <w:color w:val="1F497D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BFE"/>
    <w:multiLevelType w:val="hybridMultilevel"/>
    <w:tmpl w:val="B17A03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6A0"/>
    <w:multiLevelType w:val="hybridMultilevel"/>
    <w:tmpl w:val="2AE4C9DE"/>
    <w:lvl w:ilvl="0" w:tplc="34AAC02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23AC"/>
    <w:multiLevelType w:val="hybridMultilevel"/>
    <w:tmpl w:val="DBC0195A"/>
    <w:lvl w:ilvl="0" w:tplc="8C6ED4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8F3"/>
    <w:multiLevelType w:val="hybridMultilevel"/>
    <w:tmpl w:val="A2948658"/>
    <w:styleLink w:val="Zaimportowanystyl1"/>
    <w:lvl w:ilvl="0" w:tplc="88C6B7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442F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389AC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8A45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A4DF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D0E9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6D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E8A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0CC88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1400F8"/>
    <w:multiLevelType w:val="hybridMultilevel"/>
    <w:tmpl w:val="77C42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503"/>
    <w:multiLevelType w:val="hybridMultilevel"/>
    <w:tmpl w:val="B94C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0B78"/>
    <w:multiLevelType w:val="hybridMultilevel"/>
    <w:tmpl w:val="839C7CC2"/>
    <w:lvl w:ilvl="0" w:tplc="53B82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2289"/>
    <w:multiLevelType w:val="hybridMultilevel"/>
    <w:tmpl w:val="4B30EBA6"/>
    <w:lvl w:ilvl="0" w:tplc="D8A839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C3D8B"/>
    <w:multiLevelType w:val="hybridMultilevel"/>
    <w:tmpl w:val="9F786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76B4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4CBF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9C54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CA5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83CE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0261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E12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60F1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5C3678"/>
    <w:multiLevelType w:val="hybridMultilevel"/>
    <w:tmpl w:val="5562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34B5"/>
    <w:multiLevelType w:val="hybridMultilevel"/>
    <w:tmpl w:val="131EA574"/>
    <w:lvl w:ilvl="0" w:tplc="CDF48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F4D3D"/>
    <w:multiLevelType w:val="hybridMultilevel"/>
    <w:tmpl w:val="D8DE3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93FCB"/>
    <w:multiLevelType w:val="hybridMultilevel"/>
    <w:tmpl w:val="659C845A"/>
    <w:lvl w:ilvl="0" w:tplc="DCF084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275361"/>
    <w:multiLevelType w:val="multilevel"/>
    <w:tmpl w:val="097C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53B539F"/>
    <w:multiLevelType w:val="hybridMultilevel"/>
    <w:tmpl w:val="A2948658"/>
    <w:numStyleLink w:val="Zaimportowanystyl1"/>
  </w:abstractNum>
  <w:abstractNum w:abstractNumId="15" w15:restartNumberingAfterBreak="0">
    <w:nsid w:val="70BB01D2"/>
    <w:multiLevelType w:val="multilevel"/>
    <w:tmpl w:val="269C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43095"/>
    <w:multiLevelType w:val="hybridMultilevel"/>
    <w:tmpl w:val="52666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7"/>
    <w:rsid w:val="00000040"/>
    <w:rsid w:val="00002F11"/>
    <w:rsid w:val="0000309A"/>
    <w:rsid w:val="00003946"/>
    <w:rsid w:val="00004BDC"/>
    <w:rsid w:val="00006824"/>
    <w:rsid w:val="00006F3F"/>
    <w:rsid w:val="00007076"/>
    <w:rsid w:val="00011621"/>
    <w:rsid w:val="00013AEE"/>
    <w:rsid w:val="000146A8"/>
    <w:rsid w:val="00016CE9"/>
    <w:rsid w:val="000203ED"/>
    <w:rsid w:val="0002362F"/>
    <w:rsid w:val="000278D4"/>
    <w:rsid w:val="00027BAF"/>
    <w:rsid w:val="0003051D"/>
    <w:rsid w:val="00031A91"/>
    <w:rsid w:val="000335D0"/>
    <w:rsid w:val="0003395C"/>
    <w:rsid w:val="00036DBF"/>
    <w:rsid w:val="00040060"/>
    <w:rsid w:val="0004040E"/>
    <w:rsid w:val="0004209E"/>
    <w:rsid w:val="0004318F"/>
    <w:rsid w:val="00043395"/>
    <w:rsid w:val="00046F69"/>
    <w:rsid w:val="00051579"/>
    <w:rsid w:val="00051727"/>
    <w:rsid w:val="000518D8"/>
    <w:rsid w:val="000551D6"/>
    <w:rsid w:val="0005587B"/>
    <w:rsid w:val="000574CA"/>
    <w:rsid w:val="00061323"/>
    <w:rsid w:val="00061857"/>
    <w:rsid w:val="00061B45"/>
    <w:rsid w:val="00061ECF"/>
    <w:rsid w:val="00062192"/>
    <w:rsid w:val="000625E9"/>
    <w:rsid w:val="00064636"/>
    <w:rsid w:val="00064FF3"/>
    <w:rsid w:val="0006697D"/>
    <w:rsid w:val="00066BA5"/>
    <w:rsid w:val="00066F30"/>
    <w:rsid w:val="0007141E"/>
    <w:rsid w:val="0007224A"/>
    <w:rsid w:val="000723BC"/>
    <w:rsid w:val="00073D5D"/>
    <w:rsid w:val="0007720F"/>
    <w:rsid w:val="00080256"/>
    <w:rsid w:val="00080AC9"/>
    <w:rsid w:val="00080E43"/>
    <w:rsid w:val="00081C5F"/>
    <w:rsid w:val="00083420"/>
    <w:rsid w:val="0008416C"/>
    <w:rsid w:val="000870C6"/>
    <w:rsid w:val="00087169"/>
    <w:rsid w:val="0008755A"/>
    <w:rsid w:val="00092C0E"/>
    <w:rsid w:val="00095F75"/>
    <w:rsid w:val="00096509"/>
    <w:rsid w:val="00096AC0"/>
    <w:rsid w:val="000A1BD3"/>
    <w:rsid w:val="000A46B9"/>
    <w:rsid w:val="000A4F9F"/>
    <w:rsid w:val="000A74B7"/>
    <w:rsid w:val="000B1CCD"/>
    <w:rsid w:val="000B5B9D"/>
    <w:rsid w:val="000B5C02"/>
    <w:rsid w:val="000B6E98"/>
    <w:rsid w:val="000C380C"/>
    <w:rsid w:val="000C4268"/>
    <w:rsid w:val="000C59AA"/>
    <w:rsid w:val="000D11FB"/>
    <w:rsid w:val="000D1342"/>
    <w:rsid w:val="000D2A47"/>
    <w:rsid w:val="000D2F4F"/>
    <w:rsid w:val="000D53B3"/>
    <w:rsid w:val="000D692E"/>
    <w:rsid w:val="000D6D8F"/>
    <w:rsid w:val="000E0449"/>
    <w:rsid w:val="000E28E9"/>
    <w:rsid w:val="000E4862"/>
    <w:rsid w:val="000E60B1"/>
    <w:rsid w:val="000E7C4A"/>
    <w:rsid w:val="000E7F37"/>
    <w:rsid w:val="000F3AFD"/>
    <w:rsid w:val="000F421D"/>
    <w:rsid w:val="000F4F37"/>
    <w:rsid w:val="000F5075"/>
    <w:rsid w:val="000F5452"/>
    <w:rsid w:val="000F64BD"/>
    <w:rsid w:val="000F7360"/>
    <w:rsid w:val="00101FD4"/>
    <w:rsid w:val="00102CB1"/>
    <w:rsid w:val="00103EDA"/>
    <w:rsid w:val="00110E8A"/>
    <w:rsid w:val="00111532"/>
    <w:rsid w:val="00112908"/>
    <w:rsid w:val="00115F2A"/>
    <w:rsid w:val="00117154"/>
    <w:rsid w:val="00122574"/>
    <w:rsid w:val="00127A8B"/>
    <w:rsid w:val="00131162"/>
    <w:rsid w:val="0013184E"/>
    <w:rsid w:val="0013336D"/>
    <w:rsid w:val="00135ADC"/>
    <w:rsid w:val="0013721B"/>
    <w:rsid w:val="00143647"/>
    <w:rsid w:val="001470D3"/>
    <w:rsid w:val="0015088C"/>
    <w:rsid w:val="00151118"/>
    <w:rsid w:val="00157612"/>
    <w:rsid w:val="0016142D"/>
    <w:rsid w:val="00165021"/>
    <w:rsid w:val="00166961"/>
    <w:rsid w:val="00167B54"/>
    <w:rsid w:val="00167D0D"/>
    <w:rsid w:val="001708F3"/>
    <w:rsid w:val="00172B7A"/>
    <w:rsid w:val="001743CC"/>
    <w:rsid w:val="00177821"/>
    <w:rsid w:val="00180F53"/>
    <w:rsid w:val="00180F8A"/>
    <w:rsid w:val="00181263"/>
    <w:rsid w:val="00182ABB"/>
    <w:rsid w:val="00183696"/>
    <w:rsid w:val="00184343"/>
    <w:rsid w:val="00184754"/>
    <w:rsid w:val="00184CE5"/>
    <w:rsid w:val="001864B4"/>
    <w:rsid w:val="00187124"/>
    <w:rsid w:val="001874D7"/>
    <w:rsid w:val="0019103B"/>
    <w:rsid w:val="00191463"/>
    <w:rsid w:val="00192216"/>
    <w:rsid w:val="001963BD"/>
    <w:rsid w:val="001A49C8"/>
    <w:rsid w:val="001A51D2"/>
    <w:rsid w:val="001A57A6"/>
    <w:rsid w:val="001A60F6"/>
    <w:rsid w:val="001B0239"/>
    <w:rsid w:val="001B0369"/>
    <w:rsid w:val="001B0BA9"/>
    <w:rsid w:val="001B1145"/>
    <w:rsid w:val="001B29CF"/>
    <w:rsid w:val="001B3C85"/>
    <w:rsid w:val="001B55AC"/>
    <w:rsid w:val="001B6789"/>
    <w:rsid w:val="001C0CD3"/>
    <w:rsid w:val="001C11A0"/>
    <w:rsid w:val="001C1D9C"/>
    <w:rsid w:val="001C2B3D"/>
    <w:rsid w:val="001C45DE"/>
    <w:rsid w:val="001D0636"/>
    <w:rsid w:val="001D2DE3"/>
    <w:rsid w:val="001D5377"/>
    <w:rsid w:val="001D5D61"/>
    <w:rsid w:val="001D6114"/>
    <w:rsid w:val="001D6AD6"/>
    <w:rsid w:val="001D6B74"/>
    <w:rsid w:val="001D6C57"/>
    <w:rsid w:val="001E05F0"/>
    <w:rsid w:val="001E226B"/>
    <w:rsid w:val="001E3FDD"/>
    <w:rsid w:val="001E42E6"/>
    <w:rsid w:val="001E468F"/>
    <w:rsid w:val="001E4AC9"/>
    <w:rsid w:val="001F0A97"/>
    <w:rsid w:val="001F0D95"/>
    <w:rsid w:val="001F1622"/>
    <w:rsid w:val="001F23AE"/>
    <w:rsid w:val="001F36BF"/>
    <w:rsid w:val="001F3C02"/>
    <w:rsid w:val="001F4A58"/>
    <w:rsid w:val="001F52BB"/>
    <w:rsid w:val="001F59E9"/>
    <w:rsid w:val="002006EA"/>
    <w:rsid w:val="0020084E"/>
    <w:rsid w:val="002049F0"/>
    <w:rsid w:val="0021009A"/>
    <w:rsid w:val="0021010B"/>
    <w:rsid w:val="00210EEE"/>
    <w:rsid w:val="002110F0"/>
    <w:rsid w:val="002134B0"/>
    <w:rsid w:val="00214188"/>
    <w:rsid w:val="0021473A"/>
    <w:rsid w:val="00215881"/>
    <w:rsid w:val="002203E2"/>
    <w:rsid w:val="00221994"/>
    <w:rsid w:val="002238E1"/>
    <w:rsid w:val="00231321"/>
    <w:rsid w:val="00234986"/>
    <w:rsid w:val="0023513E"/>
    <w:rsid w:val="0023582E"/>
    <w:rsid w:val="00236444"/>
    <w:rsid w:val="00242EB6"/>
    <w:rsid w:val="002430DF"/>
    <w:rsid w:val="0024392D"/>
    <w:rsid w:val="00244306"/>
    <w:rsid w:val="00244FAE"/>
    <w:rsid w:val="00246714"/>
    <w:rsid w:val="002520EE"/>
    <w:rsid w:val="00254177"/>
    <w:rsid w:val="0025796C"/>
    <w:rsid w:val="002610FF"/>
    <w:rsid w:val="00261381"/>
    <w:rsid w:val="00262461"/>
    <w:rsid w:val="002625DB"/>
    <w:rsid w:val="00262603"/>
    <w:rsid w:val="00262EEC"/>
    <w:rsid w:val="002635C1"/>
    <w:rsid w:val="002636C3"/>
    <w:rsid w:val="00263B89"/>
    <w:rsid w:val="00264940"/>
    <w:rsid w:val="002653B9"/>
    <w:rsid w:val="002669BB"/>
    <w:rsid w:val="002676CA"/>
    <w:rsid w:val="00271FE2"/>
    <w:rsid w:val="002731E4"/>
    <w:rsid w:val="00275063"/>
    <w:rsid w:val="00275C7F"/>
    <w:rsid w:val="002816FD"/>
    <w:rsid w:val="00281FAF"/>
    <w:rsid w:val="00282465"/>
    <w:rsid w:val="00283E48"/>
    <w:rsid w:val="002878AC"/>
    <w:rsid w:val="00292880"/>
    <w:rsid w:val="00297C3B"/>
    <w:rsid w:val="002A0265"/>
    <w:rsid w:val="002A1621"/>
    <w:rsid w:val="002A28A3"/>
    <w:rsid w:val="002A3FC7"/>
    <w:rsid w:val="002A5919"/>
    <w:rsid w:val="002A648E"/>
    <w:rsid w:val="002A7437"/>
    <w:rsid w:val="002A7617"/>
    <w:rsid w:val="002B3173"/>
    <w:rsid w:val="002B3B99"/>
    <w:rsid w:val="002B3C72"/>
    <w:rsid w:val="002B404D"/>
    <w:rsid w:val="002B411A"/>
    <w:rsid w:val="002B466D"/>
    <w:rsid w:val="002B531A"/>
    <w:rsid w:val="002B53BF"/>
    <w:rsid w:val="002B5502"/>
    <w:rsid w:val="002C073A"/>
    <w:rsid w:val="002C0EF3"/>
    <w:rsid w:val="002C30EE"/>
    <w:rsid w:val="002C4581"/>
    <w:rsid w:val="002C4936"/>
    <w:rsid w:val="002C505B"/>
    <w:rsid w:val="002C75B3"/>
    <w:rsid w:val="002C7634"/>
    <w:rsid w:val="002D0F5A"/>
    <w:rsid w:val="002D12E6"/>
    <w:rsid w:val="002D19E9"/>
    <w:rsid w:val="002D1DFF"/>
    <w:rsid w:val="002D2F7E"/>
    <w:rsid w:val="002D6465"/>
    <w:rsid w:val="002E0818"/>
    <w:rsid w:val="002E4D7E"/>
    <w:rsid w:val="002E5010"/>
    <w:rsid w:val="002E55FD"/>
    <w:rsid w:val="002E62C5"/>
    <w:rsid w:val="002F0397"/>
    <w:rsid w:val="002F06E3"/>
    <w:rsid w:val="002F1C56"/>
    <w:rsid w:val="002F4A78"/>
    <w:rsid w:val="002F5004"/>
    <w:rsid w:val="002F57A0"/>
    <w:rsid w:val="002F76F7"/>
    <w:rsid w:val="002F77AE"/>
    <w:rsid w:val="002F79DE"/>
    <w:rsid w:val="00303A68"/>
    <w:rsid w:val="00305B4D"/>
    <w:rsid w:val="003065EE"/>
    <w:rsid w:val="00311F76"/>
    <w:rsid w:val="003132E5"/>
    <w:rsid w:val="00313792"/>
    <w:rsid w:val="00316AF3"/>
    <w:rsid w:val="00317766"/>
    <w:rsid w:val="00320701"/>
    <w:rsid w:val="00322E86"/>
    <w:rsid w:val="00324009"/>
    <w:rsid w:val="003240C4"/>
    <w:rsid w:val="00327745"/>
    <w:rsid w:val="00327942"/>
    <w:rsid w:val="003332F0"/>
    <w:rsid w:val="00336D17"/>
    <w:rsid w:val="00341493"/>
    <w:rsid w:val="00342617"/>
    <w:rsid w:val="0034376E"/>
    <w:rsid w:val="00346C84"/>
    <w:rsid w:val="003509E6"/>
    <w:rsid w:val="00351541"/>
    <w:rsid w:val="00352331"/>
    <w:rsid w:val="003540D4"/>
    <w:rsid w:val="00354446"/>
    <w:rsid w:val="0035558C"/>
    <w:rsid w:val="0036133B"/>
    <w:rsid w:val="00361B98"/>
    <w:rsid w:val="003624A5"/>
    <w:rsid w:val="003638A8"/>
    <w:rsid w:val="0036522E"/>
    <w:rsid w:val="003658B1"/>
    <w:rsid w:val="00366992"/>
    <w:rsid w:val="003710B7"/>
    <w:rsid w:val="003725AD"/>
    <w:rsid w:val="003731A5"/>
    <w:rsid w:val="00375A71"/>
    <w:rsid w:val="00375C76"/>
    <w:rsid w:val="00377FE8"/>
    <w:rsid w:val="003845DF"/>
    <w:rsid w:val="0038497A"/>
    <w:rsid w:val="00386474"/>
    <w:rsid w:val="00387273"/>
    <w:rsid w:val="00390240"/>
    <w:rsid w:val="00391CB6"/>
    <w:rsid w:val="0039441E"/>
    <w:rsid w:val="00395163"/>
    <w:rsid w:val="003960BD"/>
    <w:rsid w:val="00396BB8"/>
    <w:rsid w:val="003973A3"/>
    <w:rsid w:val="003978CE"/>
    <w:rsid w:val="003A02DD"/>
    <w:rsid w:val="003A2E39"/>
    <w:rsid w:val="003A36E4"/>
    <w:rsid w:val="003A7409"/>
    <w:rsid w:val="003B0DFF"/>
    <w:rsid w:val="003B361F"/>
    <w:rsid w:val="003B46CA"/>
    <w:rsid w:val="003B53AE"/>
    <w:rsid w:val="003B5C4A"/>
    <w:rsid w:val="003B668B"/>
    <w:rsid w:val="003B6BCE"/>
    <w:rsid w:val="003C07A7"/>
    <w:rsid w:val="003C2CB1"/>
    <w:rsid w:val="003D289A"/>
    <w:rsid w:val="003D5A0A"/>
    <w:rsid w:val="003D64B5"/>
    <w:rsid w:val="003D690C"/>
    <w:rsid w:val="003D7CEA"/>
    <w:rsid w:val="003E1847"/>
    <w:rsid w:val="003E593B"/>
    <w:rsid w:val="003E5D53"/>
    <w:rsid w:val="003E641F"/>
    <w:rsid w:val="003E7B4C"/>
    <w:rsid w:val="003E7E37"/>
    <w:rsid w:val="003F0C06"/>
    <w:rsid w:val="003F2E0D"/>
    <w:rsid w:val="003F505E"/>
    <w:rsid w:val="003F6BCC"/>
    <w:rsid w:val="003F6E08"/>
    <w:rsid w:val="003F7409"/>
    <w:rsid w:val="003F7CB7"/>
    <w:rsid w:val="00400183"/>
    <w:rsid w:val="0040135C"/>
    <w:rsid w:val="00402018"/>
    <w:rsid w:val="00403A72"/>
    <w:rsid w:val="00405F51"/>
    <w:rsid w:val="00410916"/>
    <w:rsid w:val="004145A6"/>
    <w:rsid w:val="004165F9"/>
    <w:rsid w:val="00420C16"/>
    <w:rsid w:val="0042195C"/>
    <w:rsid w:val="0042353A"/>
    <w:rsid w:val="004236CD"/>
    <w:rsid w:val="004269E9"/>
    <w:rsid w:val="00427BE7"/>
    <w:rsid w:val="00427D8F"/>
    <w:rsid w:val="0043026B"/>
    <w:rsid w:val="0043053A"/>
    <w:rsid w:val="00432740"/>
    <w:rsid w:val="00435FB3"/>
    <w:rsid w:val="004364E2"/>
    <w:rsid w:val="00440F89"/>
    <w:rsid w:val="00441D85"/>
    <w:rsid w:val="00444272"/>
    <w:rsid w:val="00444708"/>
    <w:rsid w:val="004456FE"/>
    <w:rsid w:val="0044680B"/>
    <w:rsid w:val="0044685F"/>
    <w:rsid w:val="00446FB4"/>
    <w:rsid w:val="00446FEF"/>
    <w:rsid w:val="00453000"/>
    <w:rsid w:val="004530D9"/>
    <w:rsid w:val="004544C9"/>
    <w:rsid w:val="00456548"/>
    <w:rsid w:val="00456BD8"/>
    <w:rsid w:val="00461707"/>
    <w:rsid w:val="00463860"/>
    <w:rsid w:val="00464B32"/>
    <w:rsid w:val="00465605"/>
    <w:rsid w:val="00465B7A"/>
    <w:rsid w:val="00467FF4"/>
    <w:rsid w:val="00470115"/>
    <w:rsid w:val="00471C15"/>
    <w:rsid w:val="00472710"/>
    <w:rsid w:val="00472BD0"/>
    <w:rsid w:val="0047431C"/>
    <w:rsid w:val="00477569"/>
    <w:rsid w:val="004840A4"/>
    <w:rsid w:val="004845D0"/>
    <w:rsid w:val="004867F2"/>
    <w:rsid w:val="00486FBA"/>
    <w:rsid w:val="00487727"/>
    <w:rsid w:val="00490EB4"/>
    <w:rsid w:val="004918DD"/>
    <w:rsid w:val="00492967"/>
    <w:rsid w:val="00495063"/>
    <w:rsid w:val="00495D20"/>
    <w:rsid w:val="00496FCB"/>
    <w:rsid w:val="004A13AC"/>
    <w:rsid w:val="004A2D77"/>
    <w:rsid w:val="004A36B6"/>
    <w:rsid w:val="004A3F87"/>
    <w:rsid w:val="004A5407"/>
    <w:rsid w:val="004A5644"/>
    <w:rsid w:val="004B146D"/>
    <w:rsid w:val="004B1B95"/>
    <w:rsid w:val="004B2047"/>
    <w:rsid w:val="004B20C4"/>
    <w:rsid w:val="004B33B7"/>
    <w:rsid w:val="004B3AE5"/>
    <w:rsid w:val="004B3E0D"/>
    <w:rsid w:val="004B4D63"/>
    <w:rsid w:val="004B5200"/>
    <w:rsid w:val="004B5531"/>
    <w:rsid w:val="004B57E8"/>
    <w:rsid w:val="004B7EC6"/>
    <w:rsid w:val="004C056B"/>
    <w:rsid w:val="004C5958"/>
    <w:rsid w:val="004D02D1"/>
    <w:rsid w:val="004D093A"/>
    <w:rsid w:val="004D2AC8"/>
    <w:rsid w:val="004D4400"/>
    <w:rsid w:val="004D4B30"/>
    <w:rsid w:val="004D687B"/>
    <w:rsid w:val="004D6C4D"/>
    <w:rsid w:val="004E190E"/>
    <w:rsid w:val="004E2268"/>
    <w:rsid w:val="004E592F"/>
    <w:rsid w:val="004F235F"/>
    <w:rsid w:val="004F43B6"/>
    <w:rsid w:val="005013A9"/>
    <w:rsid w:val="0050325D"/>
    <w:rsid w:val="005105F1"/>
    <w:rsid w:val="00511C8C"/>
    <w:rsid w:val="00515DC4"/>
    <w:rsid w:val="00515FB8"/>
    <w:rsid w:val="00515FE9"/>
    <w:rsid w:val="005201E8"/>
    <w:rsid w:val="005212B6"/>
    <w:rsid w:val="00527650"/>
    <w:rsid w:val="0053121E"/>
    <w:rsid w:val="0053184C"/>
    <w:rsid w:val="00532067"/>
    <w:rsid w:val="00532B2D"/>
    <w:rsid w:val="005332D2"/>
    <w:rsid w:val="00536C1D"/>
    <w:rsid w:val="00540428"/>
    <w:rsid w:val="00540A1E"/>
    <w:rsid w:val="005527A3"/>
    <w:rsid w:val="00552C27"/>
    <w:rsid w:val="00552EF4"/>
    <w:rsid w:val="00553A55"/>
    <w:rsid w:val="00555AAC"/>
    <w:rsid w:val="0056128F"/>
    <w:rsid w:val="00562475"/>
    <w:rsid w:val="00563EF1"/>
    <w:rsid w:val="00565EC9"/>
    <w:rsid w:val="00567799"/>
    <w:rsid w:val="00571CE7"/>
    <w:rsid w:val="00576C0F"/>
    <w:rsid w:val="00577AA4"/>
    <w:rsid w:val="00577CBC"/>
    <w:rsid w:val="005827F5"/>
    <w:rsid w:val="00582E38"/>
    <w:rsid w:val="005855E7"/>
    <w:rsid w:val="00586421"/>
    <w:rsid w:val="005918D1"/>
    <w:rsid w:val="00591B80"/>
    <w:rsid w:val="00593321"/>
    <w:rsid w:val="005934E5"/>
    <w:rsid w:val="00595BF8"/>
    <w:rsid w:val="00596F98"/>
    <w:rsid w:val="005973BB"/>
    <w:rsid w:val="00597EB9"/>
    <w:rsid w:val="005A0C95"/>
    <w:rsid w:val="005A1A82"/>
    <w:rsid w:val="005A1BCD"/>
    <w:rsid w:val="005A3DEF"/>
    <w:rsid w:val="005A426F"/>
    <w:rsid w:val="005A4803"/>
    <w:rsid w:val="005A5080"/>
    <w:rsid w:val="005A575A"/>
    <w:rsid w:val="005B0AE3"/>
    <w:rsid w:val="005B1286"/>
    <w:rsid w:val="005B2E93"/>
    <w:rsid w:val="005B4C75"/>
    <w:rsid w:val="005B5523"/>
    <w:rsid w:val="005B763B"/>
    <w:rsid w:val="005C43F3"/>
    <w:rsid w:val="005C608A"/>
    <w:rsid w:val="005C726A"/>
    <w:rsid w:val="005C7F4B"/>
    <w:rsid w:val="005D0492"/>
    <w:rsid w:val="005D2107"/>
    <w:rsid w:val="005D22CB"/>
    <w:rsid w:val="005D2D71"/>
    <w:rsid w:val="005D314A"/>
    <w:rsid w:val="005D46FB"/>
    <w:rsid w:val="005D4CE0"/>
    <w:rsid w:val="005D5005"/>
    <w:rsid w:val="005D6CE6"/>
    <w:rsid w:val="005D74E8"/>
    <w:rsid w:val="005D7E23"/>
    <w:rsid w:val="005E1231"/>
    <w:rsid w:val="005E3179"/>
    <w:rsid w:val="005E3D22"/>
    <w:rsid w:val="005E4612"/>
    <w:rsid w:val="005F0B2B"/>
    <w:rsid w:val="005F0E2A"/>
    <w:rsid w:val="005F0E7B"/>
    <w:rsid w:val="005F41FF"/>
    <w:rsid w:val="005F4F17"/>
    <w:rsid w:val="005F56DB"/>
    <w:rsid w:val="005F6108"/>
    <w:rsid w:val="00602C6F"/>
    <w:rsid w:val="006033FB"/>
    <w:rsid w:val="00606670"/>
    <w:rsid w:val="00607BFC"/>
    <w:rsid w:val="00610AAA"/>
    <w:rsid w:val="00610DB0"/>
    <w:rsid w:val="006144A1"/>
    <w:rsid w:val="006147AF"/>
    <w:rsid w:val="006227DF"/>
    <w:rsid w:val="0062298C"/>
    <w:rsid w:val="00622C91"/>
    <w:rsid w:val="00632F14"/>
    <w:rsid w:val="006336F1"/>
    <w:rsid w:val="00634564"/>
    <w:rsid w:val="00636A5A"/>
    <w:rsid w:val="00637A8F"/>
    <w:rsid w:val="0064084B"/>
    <w:rsid w:val="0064225D"/>
    <w:rsid w:val="00642AC0"/>
    <w:rsid w:val="00647FBE"/>
    <w:rsid w:val="00650CB5"/>
    <w:rsid w:val="00654714"/>
    <w:rsid w:val="00654BF3"/>
    <w:rsid w:val="0065509A"/>
    <w:rsid w:val="00656415"/>
    <w:rsid w:val="00660914"/>
    <w:rsid w:val="00661E6B"/>
    <w:rsid w:val="00662562"/>
    <w:rsid w:val="0066285B"/>
    <w:rsid w:val="00662D50"/>
    <w:rsid w:val="00665908"/>
    <w:rsid w:val="006729D0"/>
    <w:rsid w:val="00673898"/>
    <w:rsid w:val="0067395B"/>
    <w:rsid w:val="00674B06"/>
    <w:rsid w:val="00674C23"/>
    <w:rsid w:val="00675656"/>
    <w:rsid w:val="006767D5"/>
    <w:rsid w:val="00677B05"/>
    <w:rsid w:val="00681B1E"/>
    <w:rsid w:val="00681B3D"/>
    <w:rsid w:val="00682627"/>
    <w:rsid w:val="00682B20"/>
    <w:rsid w:val="00683D21"/>
    <w:rsid w:val="006843AB"/>
    <w:rsid w:val="0068494F"/>
    <w:rsid w:val="006862BD"/>
    <w:rsid w:val="00687ECB"/>
    <w:rsid w:val="0069147F"/>
    <w:rsid w:val="00694401"/>
    <w:rsid w:val="0069539F"/>
    <w:rsid w:val="00695A3F"/>
    <w:rsid w:val="006A0AB9"/>
    <w:rsid w:val="006A17FE"/>
    <w:rsid w:val="006A1F27"/>
    <w:rsid w:val="006A1FDC"/>
    <w:rsid w:val="006A22B0"/>
    <w:rsid w:val="006A2A3E"/>
    <w:rsid w:val="006A2D36"/>
    <w:rsid w:val="006A3891"/>
    <w:rsid w:val="006A4BA8"/>
    <w:rsid w:val="006A52AE"/>
    <w:rsid w:val="006B223D"/>
    <w:rsid w:val="006B4433"/>
    <w:rsid w:val="006B4AC3"/>
    <w:rsid w:val="006B4F17"/>
    <w:rsid w:val="006B5C0C"/>
    <w:rsid w:val="006B7514"/>
    <w:rsid w:val="006B7CCD"/>
    <w:rsid w:val="006C08F2"/>
    <w:rsid w:val="006C3092"/>
    <w:rsid w:val="006C34D2"/>
    <w:rsid w:val="006C5CF2"/>
    <w:rsid w:val="006C7E3C"/>
    <w:rsid w:val="006C7FAA"/>
    <w:rsid w:val="006D1C12"/>
    <w:rsid w:val="006D2A93"/>
    <w:rsid w:val="006D3E30"/>
    <w:rsid w:val="006D48D0"/>
    <w:rsid w:val="006D4B3B"/>
    <w:rsid w:val="006D58C3"/>
    <w:rsid w:val="006D5D1D"/>
    <w:rsid w:val="006D71E8"/>
    <w:rsid w:val="006E1701"/>
    <w:rsid w:val="006E2290"/>
    <w:rsid w:val="006E22DB"/>
    <w:rsid w:val="006E512E"/>
    <w:rsid w:val="006F2A80"/>
    <w:rsid w:val="006F3A55"/>
    <w:rsid w:val="006F4B8E"/>
    <w:rsid w:val="006F5001"/>
    <w:rsid w:val="006F68A0"/>
    <w:rsid w:val="006F75DC"/>
    <w:rsid w:val="00702248"/>
    <w:rsid w:val="00702D40"/>
    <w:rsid w:val="007036F6"/>
    <w:rsid w:val="00704CEA"/>
    <w:rsid w:val="00707583"/>
    <w:rsid w:val="00713994"/>
    <w:rsid w:val="00713ADF"/>
    <w:rsid w:val="007143B2"/>
    <w:rsid w:val="00714C7B"/>
    <w:rsid w:val="00715D69"/>
    <w:rsid w:val="007166E2"/>
    <w:rsid w:val="00717708"/>
    <w:rsid w:val="00717FBE"/>
    <w:rsid w:val="00720833"/>
    <w:rsid w:val="00722BAA"/>
    <w:rsid w:val="00722C94"/>
    <w:rsid w:val="007234E3"/>
    <w:rsid w:val="00727752"/>
    <w:rsid w:val="007309FB"/>
    <w:rsid w:val="00731A89"/>
    <w:rsid w:val="007342D6"/>
    <w:rsid w:val="00735237"/>
    <w:rsid w:val="00736960"/>
    <w:rsid w:val="00737811"/>
    <w:rsid w:val="00737F0B"/>
    <w:rsid w:val="00743C59"/>
    <w:rsid w:val="0074539D"/>
    <w:rsid w:val="007459FB"/>
    <w:rsid w:val="00745F1A"/>
    <w:rsid w:val="00746994"/>
    <w:rsid w:val="00747378"/>
    <w:rsid w:val="007504C1"/>
    <w:rsid w:val="0075128F"/>
    <w:rsid w:val="007516BF"/>
    <w:rsid w:val="00754EE7"/>
    <w:rsid w:val="007556A8"/>
    <w:rsid w:val="0075633E"/>
    <w:rsid w:val="00757DCB"/>
    <w:rsid w:val="00762CF4"/>
    <w:rsid w:val="007637EC"/>
    <w:rsid w:val="00766547"/>
    <w:rsid w:val="00767F27"/>
    <w:rsid w:val="0077407C"/>
    <w:rsid w:val="00775082"/>
    <w:rsid w:val="00781674"/>
    <w:rsid w:val="00782F5F"/>
    <w:rsid w:val="0078595D"/>
    <w:rsid w:val="007869D8"/>
    <w:rsid w:val="0079106C"/>
    <w:rsid w:val="00791318"/>
    <w:rsid w:val="00792345"/>
    <w:rsid w:val="00796204"/>
    <w:rsid w:val="0079727E"/>
    <w:rsid w:val="007A0619"/>
    <w:rsid w:val="007A69EE"/>
    <w:rsid w:val="007A6D78"/>
    <w:rsid w:val="007A7B5F"/>
    <w:rsid w:val="007A7EB9"/>
    <w:rsid w:val="007A7F73"/>
    <w:rsid w:val="007C03F6"/>
    <w:rsid w:val="007C0755"/>
    <w:rsid w:val="007C0F6B"/>
    <w:rsid w:val="007C1F14"/>
    <w:rsid w:val="007C313F"/>
    <w:rsid w:val="007C3B1F"/>
    <w:rsid w:val="007C3D5C"/>
    <w:rsid w:val="007C6D96"/>
    <w:rsid w:val="007C74D7"/>
    <w:rsid w:val="007D0B07"/>
    <w:rsid w:val="007D1097"/>
    <w:rsid w:val="007D6EFF"/>
    <w:rsid w:val="007E2C00"/>
    <w:rsid w:val="007E4488"/>
    <w:rsid w:val="007E5913"/>
    <w:rsid w:val="007E70D5"/>
    <w:rsid w:val="007F3781"/>
    <w:rsid w:val="007F4FD5"/>
    <w:rsid w:val="007F519E"/>
    <w:rsid w:val="007F5945"/>
    <w:rsid w:val="007F7311"/>
    <w:rsid w:val="007F7D42"/>
    <w:rsid w:val="00800933"/>
    <w:rsid w:val="008010DA"/>
    <w:rsid w:val="00802103"/>
    <w:rsid w:val="00802250"/>
    <w:rsid w:val="00802AE4"/>
    <w:rsid w:val="008063DE"/>
    <w:rsid w:val="008070E2"/>
    <w:rsid w:val="0080743C"/>
    <w:rsid w:val="00807C5D"/>
    <w:rsid w:val="008113BE"/>
    <w:rsid w:val="008145AF"/>
    <w:rsid w:val="008145B1"/>
    <w:rsid w:val="008150CA"/>
    <w:rsid w:val="008151BF"/>
    <w:rsid w:val="0081735A"/>
    <w:rsid w:val="008208AE"/>
    <w:rsid w:val="00820F00"/>
    <w:rsid w:val="008231B7"/>
    <w:rsid w:val="00823E83"/>
    <w:rsid w:val="00825A36"/>
    <w:rsid w:val="00826ADF"/>
    <w:rsid w:val="00830DBC"/>
    <w:rsid w:val="0083638F"/>
    <w:rsid w:val="00841123"/>
    <w:rsid w:val="0084179B"/>
    <w:rsid w:val="00841B2A"/>
    <w:rsid w:val="00842191"/>
    <w:rsid w:val="00843718"/>
    <w:rsid w:val="0084391C"/>
    <w:rsid w:val="00844439"/>
    <w:rsid w:val="008445AF"/>
    <w:rsid w:val="0084517E"/>
    <w:rsid w:val="00847C46"/>
    <w:rsid w:val="0085675C"/>
    <w:rsid w:val="00862D01"/>
    <w:rsid w:val="00864947"/>
    <w:rsid w:val="00865C59"/>
    <w:rsid w:val="008675B6"/>
    <w:rsid w:val="008675BF"/>
    <w:rsid w:val="00870700"/>
    <w:rsid w:val="00871131"/>
    <w:rsid w:val="008712D9"/>
    <w:rsid w:val="00872EC5"/>
    <w:rsid w:val="008769CB"/>
    <w:rsid w:val="00881407"/>
    <w:rsid w:val="00883FD3"/>
    <w:rsid w:val="0088658D"/>
    <w:rsid w:val="00887DFE"/>
    <w:rsid w:val="00892E17"/>
    <w:rsid w:val="00893CB3"/>
    <w:rsid w:val="00894224"/>
    <w:rsid w:val="008949EF"/>
    <w:rsid w:val="00895F9C"/>
    <w:rsid w:val="00897367"/>
    <w:rsid w:val="008A0035"/>
    <w:rsid w:val="008A06BB"/>
    <w:rsid w:val="008A0EC3"/>
    <w:rsid w:val="008A11E1"/>
    <w:rsid w:val="008A15F4"/>
    <w:rsid w:val="008A20B7"/>
    <w:rsid w:val="008A6277"/>
    <w:rsid w:val="008A6A8F"/>
    <w:rsid w:val="008A7B83"/>
    <w:rsid w:val="008B22EB"/>
    <w:rsid w:val="008B2B47"/>
    <w:rsid w:val="008B32EE"/>
    <w:rsid w:val="008B39C7"/>
    <w:rsid w:val="008C1E63"/>
    <w:rsid w:val="008C3D7F"/>
    <w:rsid w:val="008C63B8"/>
    <w:rsid w:val="008C737D"/>
    <w:rsid w:val="008D0071"/>
    <w:rsid w:val="008D05CB"/>
    <w:rsid w:val="008D0978"/>
    <w:rsid w:val="008D13EB"/>
    <w:rsid w:val="008D208E"/>
    <w:rsid w:val="008D24B2"/>
    <w:rsid w:val="008D6B24"/>
    <w:rsid w:val="008D7156"/>
    <w:rsid w:val="008E0388"/>
    <w:rsid w:val="008E3B5E"/>
    <w:rsid w:val="008E72CD"/>
    <w:rsid w:val="008F1AC8"/>
    <w:rsid w:val="008F1B3A"/>
    <w:rsid w:val="008F3C9B"/>
    <w:rsid w:val="008F3D68"/>
    <w:rsid w:val="008F4308"/>
    <w:rsid w:val="008F48A6"/>
    <w:rsid w:val="008F54A4"/>
    <w:rsid w:val="008F6500"/>
    <w:rsid w:val="008F66A9"/>
    <w:rsid w:val="008F68C0"/>
    <w:rsid w:val="008F7934"/>
    <w:rsid w:val="008F7A36"/>
    <w:rsid w:val="009006CD"/>
    <w:rsid w:val="00901B03"/>
    <w:rsid w:val="00902276"/>
    <w:rsid w:val="0090238A"/>
    <w:rsid w:val="009025F5"/>
    <w:rsid w:val="00906DC3"/>
    <w:rsid w:val="00906FBB"/>
    <w:rsid w:val="009074C0"/>
    <w:rsid w:val="009143AA"/>
    <w:rsid w:val="00914F22"/>
    <w:rsid w:val="00933AEE"/>
    <w:rsid w:val="0093667D"/>
    <w:rsid w:val="00936F23"/>
    <w:rsid w:val="009410E9"/>
    <w:rsid w:val="00943769"/>
    <w:rsid w:val="0094458C"/>
    <w:rsid w:val="00946268"/>
    <w:rsid w:val="009462E8"/>
    <w:rsid w:val="00946D48"/>
    <w:rsid w:val="00947F47"/>
    <w:rsid w:val="009514A6"/>
    <w:rsid w:val="009518FD"/>
    <w:rsid w:val="009534AE"/>
    <w:rsid w:val="009559B0"/>
    <w:rsid w:val="009609C6"/>
    <w:rsid w:val="00960CA8"/>
    <w:rsid w:val="00961605"/>
    <w:rsid w:val="00963C61"/>
    <w:rsid w:val="00965819"/>
    <w:rsid w:val="00970E47"/>
    <w:rsid w:val="009714E6"/>
    <w:rsid w:val="00972151"/>
    <w:rsid w:val="0097254F"/>
    <w:rsid w:val="0097362C"/>
    <w:rsid w:val="00985A76"/>
    <w:rsid w:val="009908F0"/>
    <w:rsid w:val="00991774"/>
    <w:rsid w:val="009923FC"/>
    <w:rsid w:val="00993103"/>
    <w:rsid w:val="0099657A"/>
    <w:rsid w:val="00997600"/>
    <w:rsid w:val="009A1625"/>
    <w:rsid w:val="009A2083"/>
    <w:rsid w:val="009A6A8F"/>
    <w:rsid w:val="009B1D6C"/>
    <w:rsid w:val="009C13A1"/>
    <w:rsid w:val="009C47BF"/>
    <w:rsid w:val="009C480D"/>
    <w:rsid w:val="009C49C7"/>
    <w:rsid w:val="009C4F30"/>
    <w:rsid w:val="009C61E3"/>
    <w:rsid w:val="009C6990"/>
    <w:rsid w:val="009C7199"/>
    <w:rsid w:val="009C7DA0"/>
    <w:rsid w:val="009D0DCC"/>
    <w:rsid w:val="009D1F1E"/>
    <w:rsid w:val="009D25D8"/>
    <w:rsid w:val="009D26A0"/>
    <w:rsid w:val="009D5327"/>
    <w:rsid w:val="009D538A"/>
    <w:rsid w:val="009E00D1"/>
    <w:rsid w:val="009E02F9"/>
    <w:rsid w:val="009E0E38"/>
    <w:rsid w:val="009E0EB3"/>
    <w:rsid w:val="009E3420"/>
    <w:rsid w:val="009E416A"/>
    <w:rsid w:val="009E4D7C"/>
    <w:rsid w:val="009E6F94"/>
    <w:rsid w:val="009E7AB8"/>
    <w:rsid w:val="009E7AD6"/>
    <w:rsid w:val="009F187C"/>
    <w:rsid w:val="009F4981"/>
    <w:rsid w:val="009F53AA"/>
    <w:rsid w:val="009F7B30"/>
    <w:rsid w:val="00A01E2A"/>
    <w:rsid w:val="00A033E8"/>
    <w:rsid w:val="00A036B5"/>
    <w:rsid w:val="00A03A5D"/>
    <w:rsid w:val="00A03A83"/>
    <w:rsid w:val="00A05500"/>
    <w:rsid w:val="00A05641"/>
    <w:rsid w:val="00A063B0"/>
    <w:rsid w:val="00A06A0B"/>
    <w:rsid w:val="00A13291"/>
    <w:rsid w:val="00A15773"/>
    <w:rsid w:val="00A15FBD"/>
    <w:rsid w:val="00A16D79"/>
    <w:rsid w:val="00A2231C"/>
    <w:rsid w:val="00A22E83"/>
    <w:rsid w:val="00A23166"/>
    <w:rsid w:val="00A26FD5"/>
    <w:rsid w:val="00A279E6"/>
    <w:rsid w:val="00A31F18"/>
    <w:rsid w:val="00A3606A"/>
    <w:rsid w:val="00A41786"/>
    <w:rsid w:val="00A422E7"/>
    <w:rsid w:val="00A4375B"/>
    <w:rsid w:val="00A43D82"/>
    <w:rsid w:val="00A44184"/>
    <w:rsid w:val="00A45175"/>
    <w:rsid w:val="00A45DEC"/>
    <w:rsid w:val="00A47344"/>
    <w:rsid w:val="00A51919"/>
    <w:rsid w:val="00A52659"/>
    <w:rsid w:val="00A53ED3"/>
    <w:rsid w:val="00A541BB"/>
    <w:rsid w:val="00A54444"/>
    <w:rsid w:val="00A55C2D"/>
    <w:rsid w:val="00A56DE8"/>
    <w:rsid w:val="00A606B9"/>
    <w:rsid w:val="00A61100"/>
    <w:rsid w:val="00A62DBF"/>
    <w:rsid w:val="00A630F7"/>
    <w:rsid w:val="00A653B7"/>
    <w:rsid w:val="00A71957"/>
    <w:rsid w:val="00A72905"/>
    <w:rsid w:val="00A73C72"/>
    <w:rsid w:val="00A746D5"/>
    <w:rsid w:val="00A74E9A"/>
    <w:rsid w:val="00A7555B"/>
    <w:rsid w:val="00A760F2"/>
    <w:rsid w:val="00A771A0"/>
    <w:rsid w:val="00A81F55"/>
    <w:rsid w:val="00A84A2E"/>
    <w:rsid w:val="00A86BCC"/>
    <w:rsid w:val="00A8725C"/>
    <w:rsid w:val="00A872DE"/>
    <w:rsid w:val="00A939C5"/>
    <w:rsid w:val="00A93C99"/>
    <w:rsid w:val="00A9675C"/>
    <w:rsid w:val="00A971A3"/>
    <w:rsid w:val="00AA018B"/>
    <w:rsid w:val="00AA01E7"/>
    <w:rsid w:val="00AA3C0A"/>
    <w:rsid w:val="00AA3D27"/>
    <w:rsid w:val="00AA4489"/>
    <w:rsid w:val="00AA611D"/>
    <w:rsid w:val="00AA7A9E"/>
    <w:rsid w:val="00AA7D47"/>
    <w:rsid w:val="00AB0752"/>
    <w:rsid w:val="00AB1CCF"/>
    <w:rsid w:val="00AB44C9"/>
    <w:rsid w:val="00AB5501"/>
    <w:rsid w:val="00AB5F1F"/>
    <w:rsid w:val="00AB79D6"/>
    <w:rsid w:val="00AC0A27"/>
    <w:rsid w:val="00AC1B2C"/>
    <w:rsid w:val="00AC1E8E"/>
    <w:rsid w:val="00AC243D"/>
    <w:rsid w:val="00AC3795"/>
    <w:rsid w:val="00AC429B"/>
    <w:rsid w:val="00AC6A50"/>
    <w:rsid w:val="00AC7D46"/>
    <w:rsid w:val="00AD0F8B"/>
    <w:rsid w:val="00AD1952"/>
    <w:rsid w:val="00AD4A10"/>
    <w:rsid w:val="00AD6A51"/>
    <w:rsid w:val="00AE0B98"/>
    <w:rsid w:val="00AE2D1A"/>
    <w:rsid w:val="00AE66EB"/>
    <w:rsid w:val="00AE7A20"/>
    <w:rsid w:val="00AF06FC"/>
    <w:rsid w:val="00AF0946"/>
    <w:rsid w:val="00AF0DC3"/>
    <w:rsid w:val="00AF1C1B"/>
    <w:rsid w:val="00AF2A7D"/>
    <w:rsid w:val="00AF5112"/>
    <w:rsid w:val="00B003D8"/>
    <w:rsid w:val="00B00817"/>
    <w:rsid w:val="00B038EB"/>
    <w:rsid w:val="00B069FC"/>
    <w:rsid w:val="00B07909"/>
    <w:rsid w:val="00B11F8F"/>
    <w:rsid w:val="00B130B4"/>
    <w:rsid w:val="00B13D51"/>
    <w:rsid w:val="00B15FBD"/>
    <w:rsid w:val="00B175FB"/>
    <w:rsid w:val="00B21FBE"/>
    <w:rsid w:val="00B24854"/>
    <w:rsid w:val="00B24D40"/>
    <w:rsid w:val="00B25669"/>
    <w:rsid w:val="00B25A60"/>
    <w:rsid w:val="00B25BF9"/>
    <w:rsid w:val="00B26176"/>
    <w:rsid w:val="00B27599"/>
    <w:rsid w:val="00B27C45"/>
    <w:rsid w:val="00B30505"/>
    <w:rsid w:val="00B31193"/>
    <w:rsid w:val="00B311FD"/>
    <w:rsid w:val="00B32192"/>
    <w:rsid w:val="00B33A4E"/>
    <w:rsid w:val="00B33B96"/>
    <w:rsid w:val="00B33CDC"/>
    <w:rsid w:val="00B3447B"/>
    <w:rsid w:val="00B34A3B"/>
    <w:rsid w:val="00B34D7C"/>
    <w:rsid w:val="00B43436"/>
    <w:rsid w:val="00B45878"/>
    <w:rsid w:val="00B47C0B"/>
    <w:rsid w:val="00B50046"/>
    <w:rsid w:val="00B50457"/>
    <w:rsid w:val="00B507CE"/>
    <w:rsid w:val="00B524B1"/>
    <w:rsid w:val="00B531FE"/>
    <w:rsid w:val="00B54E53"/>
    <w:rsid w:val="00B54EE5"/>
    <w:rsid w:val="00B56483"/>
    <w:rsid w:val="00B60947"/>
    <w:rsid w:val="00B60FFD"/>
    <w:rsid w:val="00B61A67"/>
    <w:rsid w:val="00B61FDE"/>
    <w:rsid w:val="00B62721"/>
    <w:rsid w:val="00B64D5D"/>
    <w:rsid w:val="00B6511D"/>
    <w:rsid w:val="00B65CF5"/>
    <w:rsid w:val="00B6784C"/>
    <w:rsid w:val="00B74E07"/>
    <w:rsid w:val="00B762F6"/>
    <w:rsid w:val="00B772C6"/>
    <w:rsid w:val="00B80466"/>
    <w:rsid w:val="00B8150C"/>
    <w:rsid w:val="00B830D9"/>
    <w:rsid w:val="00B845D3"/>
    <w:rsid w:val="00B84F82"/>
    <w:rsid w:val="00B85AF5"/>
    <w:rsid w:val="00B863A2"/>
    <w:rsid w:val="00B863FF"/>
    <w:rsid w:val="00B86458"/>
    <w:rsid w:val="00B86A2B"/>
    <w:rsid w:val="00B93A8B"/>
    <w:rsid w:val="00B93CF6"/>
    <w:rsid w:val="00B96CA4"/>
    <w:rsid w:val="00BA007D"/>
    <w:rsid w:val="00BA4223"/>
    <w:rsid w:val="00BA5A94"/>
    <w:rsid w:val="00BB281E"/>
    <w:rsid w:val="00BB2D14"/>
    <w:rsid w:val="00BB2F14"/>
    <w:rsid w:val="00BB580D"/>
    <w:rsid w:val="00BB66B7"/>
    <w:rsid w:val="00BB692C"/>
    <w:rsid w:val="00BB74BA"/>
    <w:rsid w:val="00BB75E7"/>
    <w:rsid w:val="00BB78EF"/>
    <w:rsid w:val="00BB7F06"/>
    <w:rsid w:val="00BC0788"/>
    <w:rsid w:val="00BC3407"/>
    <w:rsid w:val="00BC356F"/>
    <w:rsid w:val="00BC36E3"/>
    <w:rsid w:val="00BC7533"/>
    <w:rsid w:val="00BD07F3"/>
    <w:rsid w:val="00BD1A1E"/>
    <w:rsid w:val="00BD1A77"/>
    <w:rsid w:val="00BD216E"/>
    <w:rsid w:val="00BD26BF"/>
    <w:rsid w:val="00BD321B"/>
    <w:rsid w:val="00BD332D"/>
    <w:rsid w:val="00BD4DAE"/>
    <w:rsid w:val="00BD5673"/>
    <w:rsid w:val="00BE0D69"/>
    <w:rsid w:val="00BE0D94"/>
    <w:rsid w:val="00BE47DA"/>
    <w:rsid w:val="00BE5E3F"/>
    <w:rsid w:val="00BE6340"/>
    <w:rsid w:val="00BF1C6D"/>
    <w:rsid w:val="00BF28E3"/>
    <w:rsid w:val="00BF5D89"/>
    <w:rsid w:val="00C0066B"/>
    <w:rsid w:val="00C0088F"/>
    <w:rsid w:val="00C01CD8"/>
    <w:rsid w:val="00C036D5"/>
    <w:rsid w:val="00C07D77"/>
    <w:rsid w:val="00C10847"/>
    <w:rsid w:val="00C112C8"/>
    <w:rsid w:val="00C116BE"/>
    <w:rsid w:val="00C11F77"/>
    <w:rsid w:val="00C13C98"/>
    <w:rsid w:val="00C1531A"/>
    <w:rsid w:val="00C15653"/>
    <w:rsid w:val="00C176A2"/>
    <w:rsid w:val="00C17E8A"/>
    <w:rsid w:val="00C20996"/>
    <w:rsid w:val="00C20AAA"/>
    <w:rsid w:val="00C21745"/>
    <w:rsid w:val="00C220EC"/>
    <w:rsid w:val="00C223EB"/>
    <w:rsid w:val="00C23D3A"/>
    <w:rsid w:val="00C23EF8"/>
    <w:rsid w:val="00C2466C"/>
    <w:rsid w:val="00C273DD"/>
    <w:rsid w:val="00C34F4B"/>
    <w:rsid w:val="00C40BD7"/>
    <w:rsid w:val="00C41C91"/>
    <w:rsid w:val="00C426CF"/>
    <w:rsid w:val="00C42A29"/>
    <w:rsid w:val="00C432CE"/>
    <w:rsid w:val="00C44FBE"/>
    <w:rsid w:val="00C47522"/>
    <w:rsid w:val="00C50079"/>
    <w:rsid w:val="00C50FF6"/>
    <w:rsid w:val="00C525BE"/>
    <w:rsid w:val="00C52A84"/>
    <w:rsid w:val="00C53B1B"/>
    <w:rsid w:val="00C55760"/>
    <w:rsid w:val="00C561A1"/>
    <w:rsid w:val="00C6021E"/>
    <w:rsid w:val="00C61F3B"/>
    <w:rsid w:val="00C62064"/>
    <w:rsid w:val="00C62B74"/>
    <w:rsid w:val="00C63BFA"/>
    <w:rsid w:val="00C64971"/>
    <w:rsid w:val="00C679C8"/>
    <w:rsid w:val="00C716F4"/>
    <w:rsid w:val="00C77C38"/>
    <w:rsid w:val="00C80F72"/>
    <w:rsid w:val="00C81113"/>
    <w:rsid w:val="00C816A4"/>
    <w:rsid w:val="00C85173"/>
    <w:rsid w:val="00C858D2"/>
    <w:rsid w:val="00C86E75"/>
    <w:rsid w:val="00C932CD"/>
    <w:rsid w:val="00C9343D"/>
    <w:rsid w:val="00C93665"/>
    <w:rsid w:val="00C9407E"/>
    <w:rsid w:val="00C9434B"/>
    <w:rsid w:val="00C9549B"/>
    <w:rsid w:val="00C9625E"/>
    <w:rsid w:val="00C9631B"/>
    <w:rsid w:val="00C9640B"/>
    <w:rsid w:val="00C97D92"/>
    <w:rsid w:val="00CA13E7"/>
    <w:rsid w:val="00CA2C07"/>
    <w:rsid w:val="00CA56CB"/>
    <w:rsid w:val="00CA731A"/>
    <w:rsid w:val="00CA77A9"/>
    <w:rsid w:val="00CB00BB"/>
    <w:rsid w:val="00CB0263"/>
    <w:rsid w:val="00CB09D8"/>
    <w:rsid w:val="00CB474D"/>
    <w:rsid w:val="00CB5B4B"/>
    <w:rsid w:val="00CB6083"/>
    <w:rsid w:val="00CB6ADE"/>
    <w:rsid w:val="00CB7BCC"/>
    <w:rsid w:val="00CC2436"/>
    <w:rsid w:val="00CC253B"/>
    <w:rsid w:val="00CC768D"/>
    <w:rsid w:val="00CD110F"/>
    <w:rsid w:val="00CD1772"/>
    <w:rsid w:val="00CD2C33"/>
    <w:rsid w:val="00CD38FD"/>
    <w:rsid w:val="00CD4AD0"/>
    <w:rsid w:val="00CD4E6F"/>
    <w:rsid w:val="00CD4F47"/>
    <w:rsid w:val="00CD5134"/>
    <w:rsid w:val="00CD53A4"/>
    <w:rsid w:val="00CD5976"/>
    <w:rsid w:val="00CD6139"/>
    <w:rsid w:val="00CD7B11"/>
    <w:rsid w:val="00CE0568"/>
    <w:rsid w:val="00CE0877"/>
    <w:rsid w:val="00CE1576"/>
    <w:rsid w:val="00CE2B4D"/>
    <w:rsid w:val="00CE3906"/>
    <w:rsid w:val="00CE51AC"/>
    <w:rsid w:val="00CF09B7"/>
    <w:rsid w:val="00CF0ABB"/>
    <w:rsid w:val="00CF2525"/>
    <w:rsid w:val="00CF2FF6"/>
    <w:rsid w:val="00CF6CBF"/>
    <w:rsid w:val="00CF7567"/>
    <w:rsid w:val="00CF7C6A"/>
    <w:rsid w:val="00D01745"/>
    <w:rsid w:val="00D01AD5"/>
    <w:rsid w:val="00D0309B"/>
    <w:rsid w:val="00D0516D"/>
    <w:rsid w:val="00D0590F"/>
    <w:rsid w:val="00D05C8D"/>
    <w:rsid w:val="00D06791"/>
    <w:rsid w:val="00D15B7A"/>
    <w:rsid w:val="00D15E52"/>
    <w:rsid w:val="00D21CD6"/>
    <w:rsid w:val="00D22969"/>
    <w:rsid w:val="00D25F5B"/>
    <w:rsid w:val="00D26684"/>
    <w:rsid w:val="00D27782"/>
    <w:rsid w:val="00D31AEF"/>
    <w:rsid w:val="00D32956"/>
    <w:rsid w:val="00D32C73"/>
    <w:rsid w:val="00D33F69"/>
    <w:rsid w:val="00D40BA0"/>
    <w:rsid w:val="00D4267D"/>
    <w:rsid w:val="00D44E04"/>
    <w:rsid w:val="00D468DB"/>
    <w:rsid w:val="00D46A93"/>
    <w:rsid w:val="00D46A99"/>
    <w:rsid w:val="00D512ED"/>
    <w:rsid w:val="00D51EFC"/>
    <w:rsid w:val="00D52C4A"/>
    <w:rsid w:val="00D55521"/>
    <w:rsid w:val="00D55548"/>
    <w:rsid w:val="00D60916"/>
    <w:rsid w:val="00D61F3A"/>
    <w:rsid w:val="00D6274D"/>
    <w:rsid w:val="00D63489"/>
    <w:rsid w:val="00D658E5"/>
    <w:rsid w:val="00D66D51"/>
    <w:rsid w:val="00D67416"/>
    <w:rsid w:val="00D676E7"/>
    <w:rsid w:val="00D73B39"/>
    <w:rsid w:val="00D7407F"/>
    <w:rsid w:val="00D74808"/>
    <w:rsid w:val="00D80362"/>
    <w:rsid w:val="00D813CF"/>
    <w:rsid w:val="00D819DA"/>
    <w:rsid w:val="00D8283D"/>
    <w:rsid w:val="00D84498"/>
    <w:rsid w:val="00D85485"/>
    <w:rsid w:val="00D86187"/>
    <w:rsid w:val="00D87B18"/>
    <w:rsid w:val="00D90D86"/>
    <w:rsid w:val="00D9167C"/>
    <w:rsid w:val="00D92089"/>
    <w:rsid w:val="00D93ADF"/>
    <w:rsid w:val="00D941FC"/>
    <w:rsid w:val="00D962E9"/>
    <w:rsid w:val="00D9697E"/>
    <w:rsid w:val="00DA039B"/>
    <w:rsid w:val="00DA0DCC"/>
    <w:rsid w:val="00DA363C"/>
    <w:rsid w:val="00DA51C1"/>
    <w:rsid w:val="00DA79C8"/>
    <w:rsid w:val="00DB24B9"/>
    <w:rsid w:val="00DB2581"/>
    <w:rsid w:val="00DB452E"/>
    <w:rsid w:val="00DB4716"/>
    <w:rsid w:val="00DB6156"/>
    <w:rsid w:val="00DB7749"/>
    <w:rsid w:val="00DC0657"/>
    <w:rsid w:val="00DC140E"/>
    <w:rsid w:val="00DC14EE"/>
    <w:rsid w:val="00DC48C8"/>
    <w:rsid w:val="00DC5847"/>
    <w:rsid w:val="00DC6342"/>
    <w:rsid w:val="00DD2212"/>
    <w:rsid w:val="00DD2769"/>
    <w:rsid w:val="00DD692C"/>
    <w:rsid w:val="00DD783F"/>
    <w:rsid w:val="00DE34AB"/>
    <w:rsid w:val="00DE3A89"/>
    <w:rsid w:val="00DE5919"/>
    <w:rsid w:val="00DE7FC1"/>
    <w:rsid w:val="00DF2FEB"/>
    <w:rsid w:val="00DF39C7"/>
    <w:rsid w:val="00DF5D3A"/>
    <w:rsid w:val="00DF6CFB"/>
    <w:rsid w:val="00DF7F94"/>
    <w:rsid w:val="00E00DD5"/>
    <w:rsid w:val="00E021C4"/>
    <w:rsid w:val="00E04848"/>
    <w:rsid w:val="00E04AD2"/>
    <w:rsid w:val="00E05764"/>
    <w:rsid w:val="00E064C2"/>
    <w:rsid w:val="00E06FD2"/>
    <w:rsid w:val="00E07539"/>
    <w:rsid w:val="00E10A7A"/>
    <w:rsid w:val="00E17D60"/>
    <w:rsid w:val="00E219EA"/>
    <w:rsid w:val="00E23475"/>
    <w:rsid w:val="00E242CD"/>
    <w:rsid w:val="00E31096"/>
    <w:rsid w:val="00E320F1"/>
    <w:rsid w:val="00E346C7"/>
    <w:rsid w:val="00E35D6D"/>
    <w:rsid w:val="00E36C52"/>
    <w:rsid w:val="00E37028"/>
    <w:rsid w:val="00E4337E"/>
    <w:rsid w:val="00E43417"/>
    <w:rsid w:val="00E4365F"/>
    <w:rsid w:val="00E4538D"/>
    <w:rsid w:val="00E46AF4"/>
    <w:rsid w:val="00E47EC9"/>
    <w:rsid w:val="00E50133"/>
    <w:rsid w:val="00E52BEE"/>
    <w:rsid w:val="00E55539"/>
    <w:rsid w:val="00E5596B"/>
    <w:rsid w:val="00E56919"/>
    <w:rsid w:val="00E62BEE"/>
    <w:rsid w:val="00E6394C"/>
    <w:rsid w:val="00E65EEA"/>
    <w:rsid w:val="00E66553"/>
    <w:rsid w:val="00E670A0"/>
    <w:rsid w:val="00E679F4"/>
    <w:rsid w:val="00E707B7"/>
    <w:rsid w:val="00E719CE"/>
    <w:rsid w:val="00E73C84"/>
    <w:rsid w:val="00E75CC1"/>
    <w:rsid w:val="00E76348"/>
    <w:rsid w:val="00E81309"/>
    <w:rsid w:val="00E813F9"/>
    <w:rsid w:val="00E820B5"/>
    <w:rsid w:val="00E8491A"/>
    <w:rsid w:val="00E8561B"/>
    <w:rsid w:val="00E930B3"/>
    <w:rsid w:val="00E93C60"/>
    <w:rsid w:val="00E95700"/>
    <w:rsid w:val="00E9765B"/>
    <w:rsid w:val="00EA03EB"/>
    <w:rsid w:val="00EA0B98"/>
    <w:rsid w:val="00EA1DBF"/>
    <w:rsid w:val="00EA373E"/>
    <w:rsid w:val="00EA3CBB"/>
    <w:rsid w:val="00EA5F31"/>
    <w:rsid w:val="00EA6DB7"/>
    <w:rsid w:val="00EA7489"/>
    <w:rsid w:val="00EA7C56"/>
    <w:rsid w:val="00EB2A55"/>
    <w:rsid w:val="00EB4499"/>
    <w:rsid w:val="00EB5A19"/>
    <w:rsid w:val="00EB71B0"/>
    <w:rsid w:val="00EB762B"/>
    <w:rsid w:val="00EC134D"/>
    <w:rsid w:val="00EC13B5"/>
    <w:rsid w:val="00EC2D35"/>
    <w:rsid w:val="00EC33AD"/>
    <w:rsid w:val="00EC41EE"/>
    <w:rsid w:val="00EC7551"/>
    <w:rsid w:val="00ED290E"/>
    <w:rsid w:val="00ED3574"/>
    <w:rsid w:val="00ED4D51"/>
    <w:rsid w:val="00ED5799"/>
    <w:rsid w:val="00ED7846"/>
    <w:rsid w:val="00EE1DE1"/>
    <w:rsid w:val="00EE4670"/>
    <w:rsid w:val="00EE68A4"/>
    <w:rsid w:val="00EE6B70"/>
    <w:rsid w:val="00EF1940"/>
    <w:rsid w:val="00EF21D7"/>
    <w:rsid w:val="00EF2CA1"/>
    <w:rsid w:val="00EF2CC0"/>
    <w:rsid w:val="00EF6322"/>
    <w:rsid w:val="00EF6796"/>
    <w:rsid w:val="00EF7E0C"/>
    <w:rsid w:val="00F01E28"/>
    <w:rsid w:val="00F0277E"/>
    <w:rsid w:val="00F05F77"/>
    <w:rsid w:val="00F06B8C"/>
    <w:rsid w:val="00F07245"/>
    <w:rsid w:val="00F12D8D"/>
    <w:rsid w:val="00F16F07"/>
    <w:rsid w:val="00F20A61"/>
    <w:rsid w:val="00F21141"/>
    <w:rsid w:val="00F21B16"/>
    <w:rsid w:val="00F22773"/>
    <w:rsid w:val="00F260EA"/>
    <w:rsid w:val="00F2672A"/>
    <w:rsid w:val="00F30EFF"/>
    <w:rsid w:val="00F31B12"/>
    <w:rsid w:val="00F33645"/>
    <w:rsid w:val="00F36452"/>
    <w:rsid w:val="00F3677E"/>
    <w:rsid w:val="00F40269"/>
    <w:rsid w:val="00F4030E"/>
    <w:rsid w:val="00F412D4"/>
    <w:rsid w:val="00F464B0"/>
    <w:rsid w:val="00F4667D"/>
    <w:rsid w:val="00F5177E"/>
    <w:rsid w:val="00F55E1A"/>
    <w:rsid w:val="00F56FDA"/>
    <w:rsid w:val="00F60873"/>
    <w:rsid w:val="00F608E7"/>
    <w:rsid w:val="00F6160B"/>
    <w:rsid w:val="00F61F05"/>
    <w:rsid w:val="00F64770"/>
    <w:rsid w:val="00F65059"/>
    <w:rsid w:val="00F6516B"/>
    <w:rsid w:val="00F658D3"/>
    <w:rsid w:val="00F658EB"/>
    <w:rsid w:val="00F65D70"/>
    <w:rsid w:val="00F6640C"/>
    <w:rsid w:val="00F713B7"/>
    <w:rsid w:val="00F71764"/>
    <w:rsid w:val="00F727FA"/>
    <w:rsid w:val="00F72AE5"/>
    <w:rsid w:val="00F740C9"/>
    <w:rsid w:val="00F74FF3"/>
    <w:rsid w:val="00F814C7"/>
    <w:rsid w:val="00F8735E"/>
    <w:rsid w:val="00F908E2"/>
    <w:rsid w:val="00F90D91"/>
    <w:rsid w:val="00F91AF1"/>
    <w:rsid w:val="00F91B93"/>
    <w:rsid w:val="00F91C41"/>
    <w:rsid w:val="00F92534"/>
    <w:rsid w:val="00F94110"/>
    <w:rsid w:val="00F94BCE"/>
    <w:rsid w:val="00F96E94"/>
    <w:rsid w:val="00F96EED"/>
    <w:rsid w:val="00F97165"/>
    <w:rsid w:val="00FA11DA"/>
    <w:rsid w:val="00FA15BD"/>
    <w:rsid w:val="00FA3BF0"/>
    <w:rsid w:val="00FA4173"/>
    <w:rsid w:val="00FA64EC"/>
    <w:rsid w:val="00FA6B54"/>
    <w:rsid w:val="00FB33FA"/>
    <w:rsid w:val="00FB711C"/>
    <w:rsid w:val="00FC02F4"/>
    <w:rsid w:val="00FC18BE"/>
    <w:rsid w:val="00FC46D1"/>
    <w:rsid w:val="00FC47BD"/>
    <w:rsid w:val="00FC5597"/>
    <w:rsid w:val="00FC5816"/>
    <w:rsid w:val="00FC6A65"/>
    <w:rsid w:val="00FD0D20"/>
    <w:rsid w:val="00FD1E52"/>
    <w:rsid w:val="00FD3B46"/>
    <w:rsid w:val="00FD3C44"/>
    <w:rsid w:val="00FE0CFE"/>
    <w:rsid w:val="00FE34D4"/>
    <w:rsid w:val="00FE3BA4"/>
    <w:rsid w:val="00FE4896"/>
    <w:rsid w:val="00FE6C16"/>
    <w:rsid w:val="00FE7031"/>
    <w:rsid w:val="00FF088C"/>
    <w:rsid w:val="00FF38D9"/>
    <w:rsid w:val="00FF51E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45B2AE"/>
  <w15:docId w15:val="{ACCCE8AB-687D-4F50-BACF-90178713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6C16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FE6C16"/>
    <w:pPr>
      <w:keepNext/>
      <w:jc w:val="center"/>
      <w:outlineLvl w:val="0"/>
    </w:pPr>
    <w:rPr>
      <w:rFonts w:ascii="Bookman Old Style" w:hAnsi="Bookman Old Style"/>
      <w:i/>
      <w:sz w:val="44"/>
    </w:rPr>
  </w:style>
  <w:style w:type="paragraph" w:styleId="Nagwek2">
    <w:name w:val="heading 2"/>
    <w:basedOn w:val="Normalny"/>
    <w:next w:val="Normalny"/>
    <w:qFormat/>
    <w:rsid w:val="00FE6C16"/>
    <w:pPr>
      <w:keepNext/>
      <w:outlineLvl w:val="1"/>
    </w:pPr>
    <w:rPr>
      <w:i/>
      <w:sz w:val="20"/>
    </w:rPr>
  </w:style>
  <w:style w:type="paragraph" w:styleId="Nagwek3">
    <w:name w:val="heading 3"/>
    <w:basedOn w:val="Normalny"/>
    <w:next w:val="Normalny"/>
    <w:qFormat/>
    <w:rsid w:val="00FE6C16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E6C16"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nyName">
    <w:name w:val="Company Name"/>
    <w:basedOn w:val="Tekstpodstawowy"/>
    <w:next w:val="Data"/>
    <w:rsid w:val="00FE6C1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n-AU"/>
    </w:rPr>
  </w:style>
  <w:style w:type="paragraph" w:customStyle="1" w:styleId="ReturnAddress">
    <w:name w:val="Return Address"/>
    <w:rsid w:val="00FE6C1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/>
    </w:rPr>
  </w:style>
  <w:style w:type="paragraph" w:customStyle="1" w:styleId="SignatureJobTitle">
    <w:name w:val="Signature Job Title"/>
    <w:basedOn w:val="Podpis"/>
    <w:next w:val="Normalny"/>
    <w:rsid w:val="00FE6C16"/>
    <w:pPr>
      <w:keepNext/>
      <w:spacing w:line="240" w:lineRule="atLeast"/>
      <w:ind w:left="4565"/>
    </w:pPr>
    <w:rPr>
      <w:rFonts w:ascii="Garamond" w:hAnsi="Garamond"/>
      <w:kern w:val="18"/>
      <w:lang w:val="en-AU"/>
    </w:rPr>
  </w:style>
  <w:style w:type="paragraph" w:styleId="Nagwek">
    <w:name w:val="header"/>
    <w:basedOn w:val="Normalny"/>
    <w:link w:val="NagwekZnak"/>
    <w:uiPriority w:val="99"/>
    <w:rsid w:val="00FE6C16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paragraph" w:styleId="Tekstpodstawowy">
    <w:name w:val="Body Text"/>
    <w:basedOn w:val="Normalny"/>
    <w:link w:val="TekstpodstawowyZnak"/>
    <w:rsid w:val="00FE6C16"/>
    <w:pPr>
      <w:spacing w:after="120"/>
    </w:pPr>
  </w:style>
  <w:style w:type="paragraph" w:styleId="Data">
    <w:name w:val="Date"/>
    <w:basedOn w:val="Normalny"/>
    <w:next w:val="Normalny"/>
    <w:rsid w:val="00FE6C16"/>
  </w:style>
  <w:style w:type="paragraph" w:styleId="Podpis">
    <w:name w:val="Signature"/>
    <w:basedOn w:val="Normalny"/>
    <w:rsid w:val="00FE6C16"/>
    <w:pPr>
      <w:ind w:left="4252"/>
    </w:pPr>
  </w:style>
  <w:style w:type="paragraph" w:styleId="Stopka">
    <w:name w:val="footer"/>
    <w:basedOn w:val="Normalny"/>
    <w:link w:val="StopkaZnak"/>
    <w:uiPriority w:val="99"/>
    <w:rsid w:val="00FE6C16"/>
    <w:pPr>
      <w:tabs>
        <w:tab w:val="center" w:pos="4153"/>
        <w:tab w:val="right" w:pos="8306"/>
      </w:tabs>
    </w:pPr>
  </w:style>
  <w:style w:type="character" w:styleId="Pogrubienie">
    <w:name w:val="Strong"/>
    <w:uiPriority w:val="22"/>
    <w:qFormat/>
    <w:rsid w:val="00FE6C16"/>
    <w:rPr>
      <w:b/>
    </w:rPr>
  </w:style>
  <w:style w:type="character" w:styleId="Numerstrony">
    <w:name w:val="page number"/>
    <w:basedOn w:val="Domylnaczcionkaakapitu"/>
    <w:rsid w:val="007F519E"/>
  </w:style>
  <w:style w:type="paragraph" w:styleId="Zwykytekst">
    <w:name w:val="Plain Text"/>
    <w:basedOn w:val="Normalny"/>
    <w:rsid w:val="0094458C"/>
    <w:pPr>
      <w:spacing w:line="240" w:lineRule="auto"/>
    </w:pPr>
    <w:rPr>
      <w:rFonts w:ascii="Courier New" w:hAnsi="Courier New" w:cs="Courier New"/>
      <w:sz w:val="20"/>
    </w:rPr>
  </w:style>
  <w:style w:type="paragraph" w:styleId="Tekstprzypisudolnego">
    <w:name w:val="footnote text"/>
    <w:basedOn w:val="Normalny"/>
    <w:semiHidden/>
    <w:rsid w:val="00AC243D"/>
    <w:pPr>
      <w:spacing w:line="240" w:lineRule="auto"/>
    </w:pPr>
    <w:rPr>
      <w:sz w:val="20"/>
    </w:rPr>
  </w:style>
  <w:style w:type="character" w:styleId="Odwoanieprzypisudolnego">
    <w:name w:val="footnote reference"/>
    <w:semiHidden/>
    <w:rsid w:val="00AC243D"/>
    <w:rPr>
      <w:vertAlign w:val="superscript"/>
    </w:rPr>
  </w:style>
  <w:style w:type="paragraph" w:styleId="Tekstpodstawowy2">
    <w:name w:val="Body Text 2"/>
    <w:basedOn w:val="Normalny"/>
    <w:link w:val="Tekstpodstawowy2Znak"/>
    <w:rsid w:val="002A761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A7617"/>
    <w:rPr>
      <w:sz w:val="24"/>
    </w:rPr>
  </w:style>
  <w:style w:type="paragraph" w:styleId="Tekstdymka">
    <w:name w:val="Balloon Text"/>
    <w:basedOn w:val="Normalny"/>
    <w:semiHidden/>
    <w:rsid w:val="00D658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5587B"/>
    <w:pPr>
      <w:spacing w:before="100" w:beforeAutospacing="1" w:after="100" w:afterAutospacing="1" w:line="240" w:lineRule="auto"/>
    </w:pPr>
    <w:rPr>
      <w:szCs w:val="24"/>
    </w:rPr>
  </w:style>
  <w:style w:type="character" w:styleId="Hipercze">
    <w:name w:val="Hyperlink"/>
    <w:rsid w:val="0005587B"/>
    <w:rPr>
      <w:color w:val="0000FF"/>
      <w:u w:val="single"/>
    </w:rPr>
  </w:style>
  <w:style w:type="paragraph" w:customStyle="1" w:styleId="Akapitzlist1">
    <w:name w:val="Akapit z listą1"/>
    <w:basedOn w:val="Normalny"/>
    <w:rsid w:val="00011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A01E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1E2A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01E2A"/>
    <w:rPr>
      <w:b/>
      <w:bCs/>
    </w:rPr>
  </w:style>
  <w:style w:type="paragraph" w:styleId="Tekstprzypisukocowego">
    <w:name w:val="endnote text"/>
    <w:basedOn w:val="Normalny"/>
    <w:link w:val="TekstprzypisukocowegoZnak"/>
    <w:rsid w:val="00C6206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2064"/>
  </w:style>
  <w:style w:type="character" w:styleId="Odwoanieprzypisukocowego">
    <w:name w:val="endnote reference"/>
    <w:rsid w:val="00C62064"/>
    <w:rPr>
      <w:vertAlign w:val="superscript"/>
    </w:rPr>
  </w:style>
  <w:style w:type="character" w:customStyle="1" w:styleId="fl1">
    <w:name w:val="fl1"/>
    <w:rsid w:val="00F96E94"/>
    <w:rPr>
      <w:vanish w:val="0"/>
      <w:webHidden w:val="0"/>
      <w:specVanish w:val="0"/>
    </w:rPr>
  </w:style>
  <w:style w:type="paragraph" w:customStyle="1" w:styleId="normalweb">
    <w:name w:val="normalweb"/>
    <w:basedOn w:val="Normalny"/>
    <w:rsid w:val="003978CE"/>
    <w:pPr>
      <w:spacing w:after="45" w:line="240" w:lineRule="auto"/>
    </w:pPr>
    <w:rPr>
      <w:szCs w:val="24"/>
    </w:rPr>
  </w:style>
  <w:style w:type="paragraph" w:styleId="Akapitzlist">
    <w:name w:val="List Paragraph"/>
    <w:basedOn w:val="Normalny"/>
    <w:qFormat/>
    <w:rsid w:val="00DB4716"/>
    <w:pPr>
      <w:widowControl w:val="0"/>
      <w:spacing w:line="240" w:lineRule="auto"/>
      <w:ind w:left="720"/>
      <w:contextualSpacing/>
    </w:pPr>
    <w:rPr>
      <w:rFonts w:ascii="Arial" w:hAnsi="Arial"/>
      <w:sz w:val="22"/>
    </w:rPr>
  </w:style>
  <w:style w:type="character" w:customStyle="1" w:styleId="temat2">
    <w:name w:val="temat2"/>
    <w:basedOn w:val="Domylnaczcionkaakapitu"/>
    <w:rsid w:val="001C0CD3"/>
  </w:style>
  <w:style w:type="character" w:customStyle="1" w:styleId="StopkaZnak">
    <w:name w:val="Stopka Znak"/>
    <w:link w:val="Stopka"/>
    <w:uiPriority w:val="99"/>
    <w:rsid w:val="004E592F"/>
    <w:rPr>
      <w:sz w:val="24"/>
    </w:rPr>
  </w:style>
  <w:style w:type="paragraph" w:styleId="Bezodstpw">
    <w:name w:val="No Spacing"/>
    <w:link w:val="BezodstpwZnak"/>
    <w:uiPriority w:val="1"/>
    <w:qFormat/>
    <w:rsid w:val="00B21FB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21FBE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6A2A3E"/>
    <w:rPr>
      <w:rFonts w:ascii="Garamond" w:hAnsi="Garamond"/>
      <w:kern w:val="18"/>
      <w:sz w:val="24"/>
      <w:lang w:val="en-AU"/>
    </w:rPr>
  </w:style>
  <w:style w:type="paragraph" w:customStyle="1" w:styleId="firstp1">
    <w:name w:val="firstp1"/>
    <w:basedOn w:val="Normalny"/>
    <w:rsid w:val="00AF0DC3"/>
    <w:pPr>
      <w:spacing w:before="100" w:beforeAutospacing="1" w:after="125" w:line="240" w:lineRule="auto"/>
    </w:pPr>
    <w:rPr>
      <w:szCs w:val="24"/>
    </w:rPr>
  </w:style>
  <w:style w:type="character" w:customStyle="1" w:styleId="ata11y">
    <w:name w:val="at_a11y"/>
    <w:basedOn w:val="Domylnaczcionkaakapitu"/>
    <w:rsid w:val="00AF0DC3"/>
  </w:style>
  <w:style w:type="character" w:customStyle="1" w:styleId="TekstpodstawowyZnak">
    <w:name w:val="Tekst podstawowy Znak"/>
    <w:link w:val="Tekstpodstawowy"/>
    <w:rsid w:val="004D4400"/>
    <w:rPr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2B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8B2B47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5A0A"/>
  </w:style>
  <w:style w:type="numbering" w:customStyle="1" w:styleId="Zaimportowanystyl1">
    <w:name w:val="Zaimportowany styl 1"/>
    <w:rsid w:val="00563EF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11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163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486">
                      <w:marLeft w:val="14"/>
                      <w:marRight w:val="0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397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983">
                      <w:marLeft w:val="14"/>
                      <w:marRight w:val="0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07">
          <w:marLeft w:val="0"/>
          <w:marRight w:val="0"/>
          <w:marTop w:val="125"/>
          <w:marBottom w:val="0"/>
          <w:divBdr>
            <w:top w:val="single" w:sz="12" w:space="0" w:color="7070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61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431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8618">
                                      <w:marLeft w:val="0"/>
                                      <w:marRight w:val="125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ek\Dane%20aplikacji\Microsoft\Szablony\popihn2008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57F0-2307-4C23-A0AB-EFF3B8D0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popihn2008b</Template>
  <TotalTime>14</TotalTime>
  <Pages>8</Pages>
  <Words>4568</Words>
  <Characters>27412</Characters>
  <Application>Microsoft Office Word</Application>
  <DocSecurity>4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ORGANIZACJA</vt:lpstr>
    </vt:vector>
  </TitlesOfParts>
  <Company>POPiHN</Company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ORGANIZACJA</dc:title>
  <dc:creator>Jacek Wróblewski</dc:creator>
  <cp:lastModifiedBy>POPiHN POPiHN</cp:lastModifiedBy>
  <cp:revision>2</cp:revision>
  <cp:lastPrinted>2019-01-07T10:55:00Z</cp:lastPrinted>
  <dcterms:created xsi:type="dcterms:W3CDTF">2019-03-14T10:02:00Z</dcterms:created>
  <dcterms:modified xsi:type="dcterms:W3CDTF">2019-03-14T10:02:00Z</dcterms:modified>
</cp:coreProperties>
</file>