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A6" w:rsidRPr="00BD4F23" w:rsidRDefault="00D639A6" w:rsidP="00D639A6">
      <w:pPr>
        <w:pStyle w:val="CompanyName"/>
        <w:framePr w:w="8464" w:h="677" w:hRule="exact" w:wrap="notBeside" w:hAnchor="page" w:x="442" w:y="431" w:anchorLock="1"/>
        <w:spacing w:after="0" w:line="360" w:lineRule="auto"/>
        <w:jc w:val="both"/>
        <w:rPr>
          <w:rFonts w:ascii="Calibri" w:hAnsi="Calibri" w:cs="Tahoma"/>
          <w:sz w:val="23"/>
          <w:szCs w:val="23"/>
          <w:lang w:val="pl-PL"/>
        </w:rPr>
      </w:pPr>
    </w:p>
    <w:p w:rsidR="00D639A6" w:rsidRPr="00BD4F23" w:rsidRDefault="00D639A6" w:rsidP="00D639A6">
      <w:pPr>
        <w:spacing w:line="240" w:lineRule="auto"/>
        <w:jc w:val="both"/>
        <w:rPr>
          <w:rFonts w:ascii="Arial Narrow" w:hAnsi="Arial Narrow" w:cs="Arial"/>
          <w:spacing w:val="2"/>
          <w:kern w:val="16"/>
          <w:position w:val="2"/>
          <w:sz w:val="23"/>
          <w:szCs w:val="23"/>
        </w:rPr>
      </w:pPr>
      <w:r w:rsidRPr="00BD4F23">
        <w:rPr>
          <w:rFonts w:ascii="Calibri" w:hAnsi="Calibri" w:cs="Arial"/>
          <w:sz w:val="23"/>
          <w:szCs w:val="23"/>
        </w:rPr>
        <w:t xml:space="preserve"> </w:t>
      </w:r>
      <w:r w:rsidRPr="00BD4F23">
        <w:rPr>
          <w:rFonts w:ascii="Calibri" w:hAnsi="Calibri" w:cs="Arial"/>
          <w:sz w:val="23"/>
          <w:szCs w:val="23"/>
        </w:rPr>
        <w:tab/>
      </w:r>
      <w:r w:rsidRPr="00BD4F23">
        <w:rPr>
          <w:rFonts w:ascii="Calibri" w:hAnsi="Calibri" w:cs="Arial"/>
          <w:sz w:val="23"/>
          <w:szCs w:val="23"/>
        </w:rPr>
        <w:tab/>
      </w:r>
      <w:r w:rsidRPr="00BD4F23">
        <w:rPr>
          <w:rFonts w:ascii="Calibri" w:hAnsi="Calibri" w:cs="Arial"/>
          <w:sz w:val="23"/>
          <w:szCs w:val="23"/>
        </w:rPr>
        <w:tab/>
      </w:r>
      <w:r w:rsidRPr="00BD4F23">
        <w:rPr>
          <w:rFonts w:ascii="Calibri" w:hAnsi="Calibri" w:cs="Arial"/>
          <w:sz w:val="23"/>
          <w:szCs w:val="23"/>
        </w:rPr>
        <w:tab/>
      </w:r>
      <w:r w:rsidRPr="00BD4F23">
        <w:rPr>
          <w:rFonts w:ascii="Calibri" w:hAnsi="Calibri" w:cs="Arial"/>
          <w:sz w:val="23"/>
          <w:szCs w:val="23"/>
        </w:rPr>
        <w:tab/>
      </w:r>
      <w:r w:rsidRPr="00BD4F23">
        <w:rPr>
          <w:rFonts w:ascii="Calibri" w:hAnsi="Calibri" w:cs="Arial"/>
          <w:sz w:val="23"/>
          <w:szCs w:val="23"/>
        </w:rPr>
        <w:tab/>
      </w:r>
      <w:r w:rsidRPr="00BD4F23">
        <w:rPr>
          <w:rFonts w:ascii="Calibri" w:hAnsi="Calibri" w:cs="Arial"/>
          <w:sz w:val="23"/>
          <w:szCs w:val="23"/>
        </w:rPr>
        <w:tab/>
      </w:r>
      <w:r w:rsidRPr="00BD4F23">
        <w:rPr>
          <w:rFonts w:ascii="Calibri" w:hAnsi="Calibri" w:cs="Arial"/>
          <w:sz w:val="23"/>
          <w:szCs w:val="23"/>
        </w:rPr>
        <w:tab/>
      </w:r>
      <w:r w:rsidRPr="00BD4F23">
        <w:rPr>
          <w:rFonts w:ascii="Calibri" w:hAnsi="Calibri" w:cs="Arial"/>
          <w:sz w:val="23"/>
          <w:szCs w:val="23"/>
        </w:rPr>
        <w:tab/>
      </w:r>
    </w:p>
    <w:p w:rsidR="00D639A6" w:rsidRPr="00BD4F23" w:rsidRDefault="00D639A6" w:rsidP="00D639A6">
      <w:pPr>
        <w:spacing w:line="240" w:lineRule="auto"/>
        <w:jc w:val="both"/>
        <w:rPr>
          <w:rFonts w:ascii="Arial Narrow" w:hAnsi="Arial Narrow" w:cs="Arial"/>
          <w:b/>
          <w:sz w:val="23"/>
          <w:szCs w:val="23"/>
        </w:rPr>
      </w:pPr>
    </w:p>
    <w:p w:rsidR="00D639A6" w:rsidRPr="00BD4F23" w:rsidRDefault="00D639A6" w:rsidP="00D639A6">
      <w:pPr>
        <w:spacing w:line="240" w:lineRule="auto"/>
        <w:jc w:val="right"/>
        <w:rPr>
          <w:rFonts w:ascii="Arial Narrow" w:hAnsi="Arial Narrow" w:cs="Arial"/>
          <w:b/>
          <w:sz w:val="23"/>
          <w:szCs w:val="23"/>
        </w:rPr>
      </w:pPr>
      <w:r w:rsidRPr="00BD4F23">
        <w:rPr>
          <w:rFonts w:ascii="Arial Narrow" w:hAnsi="Arial Narrow" w:cs="Arial"/>
          <w:spacing w:val="2"/>
          <w:kern w:val="16"/>
          <w:position w:val="2"/>
          <w:sz w:val="23"/>
          <w:szCs w:val="23"/>
        </w:rPr>
        <w:t>Warszawa, 31.03.2016</w:t>
      </w:r>
      <w:r w:rsidR="007E11E9">
        <w:rPr>
          <w:rFonts w:ascii="Arial Narrow" w:hAnsi="Arial Narrow" w:cs="Arial"/>
          <w:spacing w:val="2"/>
          <w:kern w:val="16"/>
          <w:position w:val="2"/>
          <w:sz w:val="23"/>
          <w:szCs w:val="23"/>
        </w:rPr>
        <w:t xml:space="preserve"> </w:t>
      </w:r>
      <w:r w:rsidR="00A201AD" w:rsidRPr="00BD4F23">
        <w:rPr>
          <w:rFonts w:ascii="Arial Narrow" w:hAnsi="Arial Narrow" w:cs="Arial"/>
          <w:spacing w:val="2"/>
          <w:kern w:val="16"/>
          <w:position w:val="2"/>
          <w:sz w:val="23"/>
          <w:szCs w:val="23"/>
        </w:rPr>
        <w:t>r.</w:t>
      </w:r>
    </w:p>
    <w:p w:rsidR="00D639A6" w:rsidRPr="00BD4F23" w:rsidRDefault="00D639A6" w:rsidP="00D639A6">
      <w:pPr>
        <w:pStyle w:val="CompanyName"/>
        <w:framePr w:w="8464" w:h="677" w:hRule="exact" w:wrap="notBeside" w:hAnchor="page" w:x="442" w:y="431" w:anchorLock="1"/>
        <w:spacing w:after="0" w:line="360" w:lineRule="auto"/>
        <w:jc w:val="both"/>
        <w:rPr>
          <w:rFonts w:ascii="Calibri" w:hAnsi="Calibri" w:cs="Tahoma"/>
          <w:sz w:val="23"/>
          <w:szCs w:val="23"/>
          <w:lang w:val="pl-PL"/>
        </w:rPr>
      </w:pPr>
    </w:p>
    <w:p w:rsidR="00D639A6" w:rsidRPr="00BD4F23" w:rsidRDefault="00D639A6" w:rsidP="00D639A6">
      <w:pPr>
        <w:spacing w:line="240" w:lineRule="auto"/>
        <w:jc w:val="both"/>
        <w:rPr>
          <w:rFonts w:ascii="Arial Narrow" w:hAnsi="Arial Narrow" w:cs="Arial"/>
          <w:spacing w:val="2"/>
          <w:kern w:val="16"/>
          <w:position w:val="2"/>
          <w:sz w:val="23"/>
          <w:szCs w:val="23"/>
        </w:rPr>
      </w:pPr>
      <w:r w:rsidRPr="00BD4F23">
        <w:rPr>
          <w:rFonts w:ascii="Calibri" w:hAnsi="Calibri" w:cs="Arial"/>
          <w:sz w:val="23"/>
          <w:szCs w:val="23"/>
        </w:rPr>
        <w:t xml:space="preserve"> </w:t>
      </w:r>
      <w:r w:rsidRPr="00BD4F23">
        <w:rPr>
          <w:rFonts w:ascii="Calibri" w:hAnsi="Calibri" w:cs="Arial"/>
          <w:sz w:val="23"/>
          <w:szCs w:val="23"/>
        </w:rPr>
        <w:tab/>
      </w:r>
      <w:r w:rsidRPr="00BD4F23">
        <w:rPr>
          <w:rFonts w:ascii="Calibri" w:hAnsi="Calibri" w:cs="Arial"/>
          <w:sz w:val="23"/>
          <w:szCs w:val="23"/>
        </w:rPr>
        <w:tab/>
      </w:r>
      <w:r w:rsidRPr="00BD4F23">
        <w:rPr>
          <w:rFonts w:ascii="Calibri" w:hAnsi="Calibri" w:cs="Arial"/>
          <w:sz w:val="23"/>
          <w:szCs w:val="23"/>
        </w:rPr>
        <w:tab/>
      </w:r>
      <w:r w:rsidRPr="00BD4F23">
        <w:rPr>
          <w:rFonts w:ascii="Calibri" w:hAnsi="Calibri" w:cs="Arial"/>
          <w:sz w:val="23"/>
          <w:szCs w:val="23"/>
        </w:rPr>
        <w:tab/>
      </w:r>
      <w:r w:rsidRPr="00BD4F23">
        <w:rPr>
          <w:rFonts w:ascii="Calibri" w:hAnsi="Calibri" w:cs="Arial"/>
          <w:sz w:val="23"/>
          <w:szCs w:val="23"/>
        </w:rPr>
        <w:tab/>
      </w:r>
      <w:r w:rsidRPr="00BD4F23">
        <w:rPr>
          <w:rFonts w:ascii="Calibri" w:hAnsi="Calibri" w:cs="Arial"/>
          <w:sz w:val="23"/>
          <w:szCs w:val="23"/>
        </w:rPr>
        <w:tab/>
      </w:r>
      <w:r w:rsidRPr="00BD4F23">
        <w:rPr>
          <w:rFonts w:ascii="Calibri" w:hAnsi="Calibri" w:cs="Arial"/>
          <w:sz w:val="23"/>
          <w:szCs w:val="23"/>
        </w:rPr>
        <w:tab/>
      </w:r>
      <w:r w:rsidRPr="00BD4F23">
        <w:rPr>
          <w:rFonts w:ascii="Calibri" w:hAnsi="Calibri" w:cs="Arial"/>
          <w:sz w:val="23"/>
          <w:szCs w:val="23"/>
        </w:rPr>
        <w:tab/>
      </w:r>
      <w:r w:rsidRPr="00BD4F23">
        <w:rPr>
          <w:rFonts w:ascii="Calibri" w:hAnsi="Calibri" w:cs="Arial"/>
          <w:sz w:val="23"/>
          <w:szCs w:val="23"/>
        </w:rPr>
        <w:tab/>
      </w:r>
    </w:p>
    <w:p w:rsidR="00D639A6" w:rsidRPr="00BD4F23" w:rsidRDefault="00D639A6" w:rsidP="00D639A6">
      <w:pPr>
        <w:spacing w:line="240" w:lineRule="auto"/>
        <w:jc w:val="both"/>
        <w:rPr>
          <w:rFonts w:ascii="Arial Narrow" w:hAnsi="Arial Narrow" w:cs="Arial"/>
          <w:b/>
          <w:sz w:val="23"/>
          <w:szCs w:val="23"/>
        </w:rPr>
      </w:pPr>
    </w:p>
    <w:p w:rsidR="00D639A6" w:rsidRPr="00BD4F23" w:rsidRDefault="00D639A6" w:rsidP="00D639A6">
      <w:pPr>
        <w:spacing w:after="160" w:line="259" w:lineRule="auto"/>
        <w:jc w:val="both"/>
        <w:rPr>
          <w:rFonts w:ascii="Arial Narrow" w:eastAsia="Calibri" w:hAnsi="Arial Narrow"/>
          <w:b/>
          <w:sz w:val="23"/>
          <w:szCs w:val="23"/>
          <w:u w:val="single"/>
          <w:lang w:eastAsia="en-US"/>
        </w:rPr>
      </w:pPr>
    </w:p>
    <w:p w:rsidR="00D639A6" w:rsidRPr="00BD4F23" w:rsidRDefault="00D639A6" w:rsidP="00D639A6">
      <w:pPr>
        <w:spacing w:after="160" w:line="259" w:lineRule="auto"/>
        <w:jc w:val="both"/>
        <w:rPr>
          <w:rFonts w:ascii="Arial Narrow" w:eastAsia="Calibri" w:hAnsi="Arial Narrow"/>
          <w:b/>
          <w:sz w:val="23"/>
          <w:szCs w:val="23"/>
          <w:u w:val="single"/>
          <w:lang w:eastAsia="en-US"/>
        </w:rPr>
      </w:pPr>
      <w:r w:rsidRPr="00BD4F23">
        <w:rPr>
          <w:rFonts w:ascii="Arial Narrow" w:eastAsia="Calibri" w:hAnsi="Arial Narrow"/>
          <w:b/>
          <w:sz w:val="23"/>
          <w:szCs w:val="23"/>
          <w:u w:val="single"/>
          <w:lang w:eastAsia="en-US"/>
        </w:rPr>
        <w:t>Rynek olejów smarowych w 2015 roku - stabilizacja z niewielkimi wzrostami</w:t>
      </w:r>
    </w:p>
    <w:p w:rsidR="00D639A6" w:rsidRPr="00BD4F23" w:rsidRDefault="00D639A6" w:rsidP="00D639A6">
      <w:pPr>
        <w:spacing w:after="160" w:line="259" w:lineRule="auto"/>
        <w:jc w:val="both"/>
        <w:rPr>
          <w:rFonts w:ascii="Arial Narrow" w:eastAsia="Calibri" w:hAnsi="Arial Narrow"/>
          <w:sz w:val="23"/>
          <w:szCs w:val="23"/>
          <w:lang w:eastAsia="en-US"/>
        </w:rPr>
      </w:pPr>
      <w:r w:rsidRPr="00BD4F23">
        <w:rPr>
          <w:rFonts w:ascii="Arial Narrow" w:eastAsia="Calibri" w:hAnsi="Arial Narrow"/>
          <w:sz w:val="23"/>
          <w:szCs w:val="23"/>
          <w:lang w:eastAsia="en-US"/>
        </w:rPr>
        <w:t xml:space="preserve">Polski rynek olejów smarowych osiągnął w roku 2015 poziom 232 tys. ton, co oznacza wzrost o 2,36% </w:t>
      </w:r>
      <w:r w:rsidRPr="00BD4F23">
        <w:rPr>
          <w:rFonts w:ascii="Arial Narrow" w:eastAsia="Calibri" w:hAnsi="Arial Narrow"/>
          <w:sz w:val="23"/>
          <w:szCs w:val="23"/>
          <w:lang w:eastAsia="en-US"/>
        </w:rPr>
        <w:br/>
        <w:t xml:space="preserve">w porównaniu z rokiem ubiegłym. </w:t>
      </w:r>
    </w:p>
    <w:p w:rsidR="00D639A6" w:rsidRPr="00BD4F23" w:rsidRDefault="00D639A6" w:rsidP="00D639A6">
      <w:pPr>
        <w:spacing w:after="160" w:line="259" w:lineRule="auto"/>
        <w:jc w:val="both"/>
        <w:rPr>
          <w:rFonts w:ascii="Arial Narrow" w:eastAsia="Calibri" w:hAnsi="Arial Narrow"/>
          <w:sz w:val="23"/>
          <w:szCs w:val="23"/>
          <w:lang w:eastAsia="en-US"/>
        </w:rPr>
      </w:pPr>
      <w:r w:rsidRPr="00BD4F23">
        <w:rPr>
          <w:rFonts w:ascii="Arial Narrow" w:eastAsia="Calibri" w:hAnsi="Arial Narrow"/>
          <w:sz w:val="23"/>
          <w:szCs w:val="23"/>
          <w:lang w:eastAsia="en-US"/>
        </w:rPr>
        <w:t xml:space="preserve">Zgodnie z przewidywaniami POPiHN z roku 2014 obydwa główne segmenty rynku zachowywały się stabilnie. Segment motoryzacyjny wzrósł o 2,54%, zaś przemysłowy o 2,27%. </w:t>
      </w:r>
    </w:p>
    <w:p w:rsidR="00D639A6" w:rsidRPr="00BD4F23" w:rsidRDefault="00D639A6" w:rsidP="00D639A6">
      <w:pPr>
        <w:spacing w:after="160" w:line="259" w:lineRule="auto"/>
        <w:jc w:val="both"/>
        <w:rPr>
          <w:rFonts w:ascii="Arial Narrow" w:eastAsia="Calibri" w:hAnsi="Arial Narrow"/>
          <w:b/>
          <w:sz w:val="23"/>
          <w:szCs w:val="23"/>
          <w:u w:val="single"/>
          <w:lang w:eastAsia="en-US"/>
        </w:rPr>
      </w:pPr>
      <w:r w:rsidRPr="00BD4F23">
        <w:rPr>
          <w:rFonts w:ascii="Arial Narrow" w:eastAsia="Calibri" w:hAnsi="Arial Narrow"/>
          <w:b/>
          <w:sz w:val="23"/>
          <w:szCs w:val="23"/>
          <w:u w:val="single"/>
          <w:lang w:eastAsia="en-US"/>
        </w:rPr>
        <w:t xml:space="preserve">Lepsza od prognoz sprzedaż syntetycznych olejów silnikowych nadal napędza wzrost w całym segmencie </w:t>
      </w:r>
    </w:p>
    <w:p w:rsidR="00D639A6" w:rsidRPr="00BD4F23" w:rsidRDefault="00D639A6" w:rsidP="00D639A6">
      <w:pPr>
        <w:spacing w:after="160" w:line="259" w:lineRule="auto"/>
        <w:jc w:val="both"/>
        <w:rPr>
          <w:rFonts w:ascii="Arial Narrow" w:eastAsia="Calibri" w:hAnsi="Arial Narrow"/>
          <w:sz w:val="23"/>
          <w:szCs w:val="23"/>
          <w:lang w:eastAsia="en-US"/>
        </w:rPr>
      </w:pPr>
      <w:r w:rsidRPr="00BD4F23">
        <w:rPr>
          <w:rFonts w:ascii="Arial Narrow" w:eastAsia="Calibri" w:hAnsi="Arial Narrow"/>
          <w:sz w:val="23"/>
          <w:szCs w:val="23"/>
          <w:lang w:eastAsia="en-US"/>
        </w:rPr>
        <w:t xml:space="preserve">Oleje silnikowe dla motoryzacji stanowią około 45% wszystkich sprzedawanych w Polsce olejów smarowych. </w:t>
      </w:r>
      <w:r w:rsidRPr="00BD4F23">
        <w:rPr>
          <w:rFonts w:ascii="Arial Narrow" w:eastAsia="Calibri" w:hAnsi="Arial Narrow"/>
          <w:sz w:val="23"/>
          <w:szCs w:val="23"/>
          <w:lang w:eastAsia="en-US"/>
        </w:rPr>
        <w:br/>
        <w:t>W roku 2015 sprzedano ich 105 tys. ton, co oznacza, że segment wzrósł rok do roku</w:t>
      </w:r>
      <w:r w:rsidR="00D20BE8" w:rsidRPr="00BD4F23">
        <w:rPr>
          <w:rFonts w:ascii="Arial Narrow" w:eastAsia="Calibri" w:hAnsi="Arial Narrow"/>
          <w:sz w:val="23"/>
          <w:szCs w:val="23"/>
          <w:lang w:eastAsia="en-US"/>
        </w:rPr>
        <w:t xml:space="preserve"> </w:t>
      </w:r>
      <w:r w:rsidRPr="00BD4F23">
        <w:rPr>
          <w:rFonts w:ascii="Arial Narrow" w:eastAsia="Calibri" w:hAnsi="Arial Narrow"/>
          <w:sz w:val="23"/>
          <w:szCs w:val="23"/>
          <w:lang w:eastAsia="en-US"/>
        </w:rPr>
        <w:t xml:space="preserve">o 2,9%. </w:t>
      </w:r>
    </w:p>
    <w:p w:rsidR="00A201AD" w:rsidRPr="00BD4F23" w:rsidRDefault="00D639A6" w:rsidP="00D639A6">
      <w:pPr>
        <w:spacing w:after="160" w:line="259" w:lineRule="auto"/>
        <w:jc w:val="both"/>
        <w:rPr>
          <w:rFonts w:ascii="Arial Narrow" w:eastAsia="Calibri" w:hAnsi="Arial Narrow"/>
          <w:sz w:val="23"/>
          <w:szCs w:val="23"/>
          <w:lang w:eastAsia="en-US"/>
        </w:rPr>
      </w:pPr>
      <w:r w:rsidRPr="00BD4F23">
        <w:rPr>
          <w:rFonts w:ascii="Arial Narrow" w:eastAsia="Calibri" w:hAnsi="Arial Narrow"/>
          <w:sz w:val="23"/>
          <w:szCs w:val="23"/>
          <w:lang w:eastAsia="en-US"/>
        </w:rPr>
        <w:t xml:space="preserve">Od roku 2007 rynek olejów silnikowych znajdował się w wyraźnym trendzie spadkowym. Ostatnie trzy lata przyniosły jednak dość zaskakujące odwrócenie tego trendu. </w:t>
      </w:r>
      <w:r w:rsidRPr="00BD4F23">
        <w:rPr>
          <w:rFonts w:ascii="Arial Narrow" w:eastAsia="Calibri" w:hAnsi="Arial Narrow"/>
          <w:b/>
          <w:sz w:val="23"/>
          <w:szCs w:val="23"/>
          <w:lang w:eastAsia="en-US"/>
        </w:rPr>
        <w:t>Największą ubiegłoroczną niespodzianką okazał się kolejny wzrost sprzedaży, tym razem aż o 4,2% w segmencie olejów silnikowych dla pojazdów osobowych.</w:t>
      </w:r>
      <w:r w:rsidRPr="00BD4F23">
        <w:rPr>
          <w:rFonts w:ascii="Arial Narrow" w:eastAsia="Calibri" w:hAnsi="Arial Narrow"/>
          <w:sz w:val="23"/>
          <w:szCs w:val="23"/>
          <w:lang w:eastAsia="en-US"/>
        </w:rPr>
        <w:t xml:space="preserve"> Szara strefa, rosnący udział olejów syntetycznych (które wymagają rzadszej wymiany) wreszcie silny spadek wykorzystywania olejów jednosezonowych przemawiałyby za tym, iż segment ten powinien się kurczyć. </w:t>
      </w:r>
    </w:p>
    <w:p w:rsidR="00D639A6" w:rsidRPr="00BD4F23" w:rsidRDefault="00A201AD" w:rsidP="00D639A6">
      <w:pPr>
        <w:spacing w:after="160" w:line="259" w:lineRule="auto"/>
        <w:jc w:val="both"/>
        <w:rPr>
          <w:rFonts w:ascii="Arial Narrow" w:eastAsia="Calibri" w:hAnsi="Arial Narrow"/>
          <w:sz w:val="23"/>
          <w:szCs w:val="23"/>
          <w:lang w:eastAsia="en-US"/>
        </w:rPr>
      </w:pPr>
      <w:r w:rsidRPr="00BD4F23">
        <w:rPr>
          <w:rFonts w:ascii="Arial Narrow" w:eastAsia="Calibri" w:hAnsi="Arial Narrow"/>
          <w:sz w:val="23"/>
          <w:szCs w:val="23"/>
          <w:lang w:eastAsia="en-US"/>
        </w:rPr>
        <w:t>Jedną z</w:t>
      </w:r>
      <w:r w:rsidR="00D639A6" w:rsidRPr="00BD4F23">
        <w:rPr>
          <w:rFonts w:ascii="Arial Narrow" w:eastAsia="Calibri" w:hAnsi="Arial Narrow"/>
          <w:sz w:val="23"/>
          <w:szCs w:val="23"/>
          <w:lang w:eastAsia="en-US"/>
        </w:rPr>
        <w:t xml:space="preserve"> przyczyn wspomnianego wzrostu mogła być </w:t>
      </w:r>
      <w:r w:rsidR="00D639A6" w:rsidRPr="00BD4F23">
        <w:rPr>
          <w:rFonts w:ascii="Arial Narrow" w:eastAsia="Calibri" w:hAnsi="Arial Narrow"/>
          <w:b/>
          <w:sz w:val="23"/>
          <w:szCs w:val="23"/>
          <w:lang w:eastAsia="en-US"/>
        </w:rPr>
        <w:t>zwiększająca się  produkcja pojazdów w Polsce.</w:t>
      </w:r>
      <w:r w:rsidR="00D639A6" w:rsidRPr="00BD4F23">
        <w:rPr>
          <w:rFonts w:ascii="Arial Narrow" w:eastAsia="Calibri" w:hAnsi="Arial Narrow"/>
          <w:sz w:val="23"/>
          <w:szCs w:val="23"/>
          <w:lang w:eastAsia="en-US"/>
        </w:rPr>
        <w:t xml:space="preserve"> Według Instytutu Samar w roku 2015 produkcja samochodów w Polsce wzrosła o 11 procent. Druga możliwa przyczyna to  działania organów administracji państwowej i ograniczenie szarej strefy, dotykającej tych produktów głównie w formie importu równoległego oraz prywatnego. </w:t>
      </w:r>
    </w:p>
    <w:p w:rsidR="00D639A6" w:rsidRPr="00BD4F23" w:rsidRDefault="00D639A6" w:rsidP="00D639A6">
      <w:pPr>
        <w:spacing w:after="160" w:line="259" w:lineRule="auto"/>
        <w:jc w:val="both"/>
        <w:rPr>
          <w:rFonts w:ascii="Arial Narrow" w:eastAsia="Calibri" w:hAnsi="Arial Narrow"/>
          <w:sz w:val="23"/>
          <w:szCs w:val="23"/>
          <w:lang w:eastAsia="en-US"/>
        </w:rPr>
      </w:pPr>
      <w:r w:rsidRPr="00BD4F23">
        <w:rPr>
          <w:rFonts w:ascii="Arial Narrow" w:eastAsia="Calibri" w:hAnsi="Arial Narrow"/>
          <w:sz w:val="23"/>
          <w:szCs w:val="23"/>
          <w:lang w:eastAsia="en-US"/>
        </w:rPr>
        <w:t>Najwyższa dotąd zaobserwowana dynamika wzrostu sprzedaży olejów syntetycznych dla pojazdów osobowych miała miejsce w roku 2014.  Z 24 tys. ton segment wzrósł wówczas do ponad 31 tys. ton. Wielkość ta rośnie bez przerwy, odkąd prowadzony jest przez POPiHN monitor</w:t>
      </w:r>
      <w:r w:rsidR="007E11E9">
        <w:rPr>
          <w:rFonts w:ascii="Arial Narrow" w:eastAsia="Calibri" w:hAnsi="Arial Narrow"/>
          <w:sz w:val="23"/>
          <w:szCs w:val="23"/>
          <w:lang w:eastAsia="en-US"/>
        </w:rPr>
        <w:t>ing, począwszy od 14 tys. ton w </w:t>
      </w:r>
      <w:r w:rsidRPr="00BD4F23">
        <w:rPr>
          <w:rFonts w:ascii="Arial Narrow" w:eastAsia="Calibri" w:hAnsi="Arial Narrow"/>
          <w:sz w:val="23"/>
          <w:szCs w:val="23"/>
          <w:lang w:eastAsia="en-US"/>
        </w:rPr>
        <w:t>roku</w:t>
      </w:r>
      <w:r w:rsidR="007E11E9">
        <w:rPr>
          <w:rFonts w:ascii="Arial Narrow" w:eastAsia="Calibri" w:hAnsi="Arial Narrow"/>
          <w:sz w:val="23"/>
          <w:szCs w:val="23"/>
          <w:lang w:eastAsia="en-US"/>
        </w:rPr>
        <w:t> 2007 do 34 tys. </w:t>
      </w:r>
      <w:r w:rsidRPr="00BD4F23">
        <w:rPr>
          <w:rFonts w:ascii="Arial Narrow" w:eastAsia="Calibri" w:hAnsi="Arial Narrow"/>
          <w:sz w:val="23"/>
          <w:szCs w:val="23"/>
          <w:lang w:eastAsia="en-US"/>
        </w:rPr>
        <w:t xml:space="preserve">ton w roku 2015. Tym samym, udział tej grupy w segmencie olejów silnikowych dla pojazdów osobowych osiągnął już 55%. </w:t>
      </w:r>
      <w:r w:rsidRPr="00BD4F23">
        <w:rPr>
          <w:rFonts w:ascii="Arial Narrow" w:eastAsia="Calibri" w:hAnsi="Arial Narrow"/>
          <w:b/>
          <w:sz w:val="23"/>
          <w:szCs w:val="23"/>
          <w:lang w:eastAsia="en-US"/>
        </w:rPr>
        <w:t xml:space="preserve">Już ponad połowa sprzedawanych w Polsce olejów stosowanych w pojazdach osobowych to tzw. </w:t>
      </w:r>
      <w:proofErr w:type="spellStart"/>
      <w:r w:rsidRPr="00BD4F23">
        <w:rPr>
          <w:rFonts w:ascii="Arial Narrow" w:eastAsia="Calibri" w:hAnsi="Arial Narrow"/>
          <w:b/>
          <w:sz w:val="23"/>
          <w:szCs w:val="23"/>
          <w:lang w:eastAsia="en-US"/>
        </w:rPr>
        <w:t>lekkobieżne</w:t>
      </w:r>
      <w:proofErr w:type="spellEnd"/>
      <w:r w:rsidRPr="00BD4F23">
        <w:rPr>
          <w:rFonts w:ascii="Arial Narrow" w:eastAsia="Calibri" w:hAnsi="Arial Narrow"/>
          <w:b/>
          <w:sz w:val="23"/>
          <w:szCs w:val="23"/>
          <w:lang w:eastAsia="en-US"/>
        </w:rPr>
        <w:t xml:space="preserve"> oleje o najniższych </w:t>
      </w:r>
      <w:proofErr w:type="spellStart"/>
      <w:r w:rsidRPr="00BD4F23">
        <w:rPr>
          <w:rFonts w:ascii="Arial Narrow" w:eastAsia="Calibri" w:hAnsi="Arial Narrow"/>
          <w:b/>
          <w:sz w:val="23"/>
          <w:szCs w:val="23"/>
          <w:lang w:eastAsia="en-US"/>
        </w:rPr>
        <w:t>lepkościach</w:t>
      </w:r>
      <w:proofErr w:type="spellEnd"/>
      <w:r w:rsidRPr="00BD4F23">
        <w:rPr>
          <w:rFonts w:ascii="Arial Narrow" w:eastAsia="Calibri" w:hAnsi="Arial Narrow"/>
          <w:b/>
          <w:sz w:val="23"/>
          <w:szCs w:val="23"/>
          <w:lang w:eastAsia="en-US"/>
        </w:rPr>
        <w:t>: 0W lub 5W.</w:t>
      </w:r>
      <w:r w:rsidRPr="00BD4F23">
        <w:rPr>
          <w:rFonts w:ascii="Arial Narrow" w:eastAsia="Calibri" w:hAnsi="Arial Narrow"/>
          <w:sz w:val="23"/>
          <w:szCs w:val="23"/>
          <w:lang w:eastAsia="en-US"/>
        </w:rPr>
        <w:t xml:space="preserve"> </w:t>
      </w:r>
    </w:p>
    <w:p w:rsidR="00D639A6" w:rsidRPr="00BD4F23" w:rsidRDefault="00D639A6" w:rsidP="00D639A6">
      <w:pPr>
        <w:spacing w:after="160" w:line="259" w:lineRule="auto"/>
        <w:jc w:val="both"/>
        <w:rPr>
          <w:rFonts w:ascii="Arial Narrow" w:eastAsia="Calibri" w:hAnsi="Arial Narrow"/>
          <w:b/>
          <w:sz w:val="23"/>
          <w:szCs w:val="23"/>
          <w:u w:val="single"/>
          <w:lang w:eastAsia="en-US"/>
        </w:rPr>
      </w:pPr>
      <w:r w:rsidRPr="00BD4F23">
        <w:rPr>
          <w:rFonts w:ascii="Arial Narrow" w:eastAsia="Calibri" w:hAnsi="Arial Narrow"/>
          <w:b/>
          <w:sz w:val="23"/>
          <w:szCs w:val="23"/>
          <w:u w:val="single"/>
          <w:lang w:eastAsia="en-US"/>
        </w:rPr>
        <w:t xml:space="preserve">Oleje silnikowe dla pojazdów ciężarowych i sprzętu pomocniczego sprzedają się jak przed kryzysem </w:t>
      </w:r>
      <w:r w:rsidR="00495B30">
        <w:rPr>
          <w:rFonts w:ascii="Arial Narrow" w:eastAsia="Calibri" w:hAnsi="Arial Narrow"/>
          <w:b/>
          <w:sz w:val="23"/>
          <w:szCs w:val="23"/>
          <w:u w:val="single"/>
          <w:lang w:eastAsia="en-US"/>
        </w:rPr>
        <w:t xml:space="preserve">  </w:t>
      </w:r>
      <w:r w:rsidRPr="00BD4F23">
        <w:rPr>
          <w:rFonts w:ascii="Arial Narrow" w:eastAsia="Calibri" w:hAnsi="Arial Narrow"/>
          <w:b/>
          <w:sz w:val="23"/>
          <w:szCs w:val="23"/>
          <w:u w:val="single"/>
          <w:lang w:eastAsia="en-US"/>
        </w:rPr>
        <w:t>z lat 2008-2009</w:t>
      </w:r>
    </w:p>
    <w:p w:rsidR="00D639A6" w:rsidRPr="00BD4F23" w:rsidRDefault="00D639A6" w:rsidP="00D639A6">
      <w:pPr>
        <w:spacing w:after="160" w:line="259" w:lineRule="auto"/>
        <w:jc w:val="both"/>
        <w:rPr>
          <w:rFonts w:ascii="Arial Narrow" w:eastAsia="Calibri" w:hAnsi="Arial Narrow"/>
          <w:sz w:val="23"/>
          <w:szCs w:val="23"/>
          <w:lang w:eastAsia="en-US"/>
        </w:rPr>
      </w:pPr>
      <w:r w:rsidRPr="00BD4F23">
        <w:rPr>
          <w:rFonts w:ascii="Arial Narrow" w:eastAsia="Calibri" w:hAnsi="Arial Narrow"/>
          <w:sz w:val="23"/>
          <w:szCs w:val="23"/>
          <w:lang w:eastAsia="en-US"/>
        </w:rPr>
        <w:t xml:space="preserve">Wzrost o </w:t>
      </w:r>
      <w:r w:rsidR="00C46BFB" w:rsidRPr="00BD4F23">
        <w:rPr>
          <w:rFonts w:ascii="Arial Narrow" w:eastAsia="Calibri" w:hAnsi="Arial Narrow"/>
          <w:sz w:val="23"/>
          <w:szCs w:val="23"/>
          <w:lang w:eastAsia="en-US"/>
        </w:rPr>
        <w:t>2,3% zanotowany w tym segmencie w roku 2015</w:t>
      </w:r>
      <w:r w:rsidRPr="00BD4F23">
        <w:rPr>
          <w:rFonts w:ascii="Arial Narrow" w:eastAsia="Calibri" w:hAnsi="Arial Narrow"/>
          <w:sz w:val="23"/>
          <w:szCs w:val="23"/>
          <w:lang w:eastAsia="en-US"/>
        </w:rPr>
        <w:t xml:space="preserve"> był zgodny z oczekiwaniami branży. W Polsce sprzedano 38 tys. ton olejów silnikowych dla pojazdów ciężarowych, co oznacza, że segment ten osiągnął poziom popytu sprzed kryzysu. Wzrost trwa już trzeci rok z rzędu i jest skorelowany ze wzrostem produkcji pojazdów ciężarowych w Polsce, która osiągnęła w 2015 roku poziom 120 tys. sztuk.</w:t>
      </w:r>
    </w:p>
    <w:p w:rsidR="00D639A6" w:rsidRPr="00BD4F23" w:rsidRDefault="00D639A6" w:rsidP="00D639A6">
      <w:pPr>
        <w:spacing w:after="160" w:line="259" w:lineRule="auto"/>
        <w:jc w:val="both"/>
        <w:rPr>
          <w:rFonts w:ascii="Arial Narrow" w:eastAsia="Calibri" w:hAnsi="Arial Narrow"/>
          <w:b/>
          <w:sz w:val="23"/>
          <w:szCs w:val="23"/>
          <w:u w:val="single"/>
          <w:lang w:eastAsia="en-US"/>
        </w:rPr>
      </w:pPr>
      <w:r w:rsidRPr="00BD4F23">
        <w:rPr>
          <w:rFonts w:ascii="Arial Narrow" w:eastAsia="Calibri" w:hAnsi="Arial Narrow"/>
          <w:b/>
          <w:sz w:val="23"/>
          <w:szCs w:val="23"/>
          <w:u w:val="single"/>
          <w:lang w:eastAsia="en-US"/>
        </w:rPr>
        <w:t xml:space="preserve">Zmarnowany potencjał? Kolejne lata </w:t>
      </w:r>
      <w:proofErr w:type="spellStart"/>
      <w:r w:rsidRPr="00BD4F23">
        <w:rPr>
          <w:rFonts w:ascii="Arial Narrow" w:eastAsia="Calibri" w:hAnsi="Arial Narrow"/>
          <w:b/>
          <w:sz w:val="23"/>
          <w:szCs w:val="23"/>
          <w:u w:val="single"/>
          <w:lang w:eastAsia="en-US"/>
        </w:rPr>
        <w:t>pod</w:t>
      </w:r>
      <w:proofErr w:type="spellEnd"/>
      <w:r w:rsidRPr="00BD4F23">
        <w:rPr>
          <w:rFonts w:ascii="Arial Narrow" w:eastAsia="Calibri" w:hAnsi="Arial Narrow"/>
          <w:b/>
          <w:sz w:val="23"/>
          <w:szCs w:val="23"/>
          <w:u w:val="single"/>
          <w:lang w:eastAsia="en-US"/>
        </w:rPr>
        <w:t xml:space="preserve"> znakiem stabilizacji, walki z szarą strefą i nieefektywnym opodatkowaniem podatkiem akcyzowym</w:t>
      </w:r>
    </w:p>
    <w:p w:rsidR="00D639A6" w:rsidRPr="00BD4F23" w:rsidRDefault="00D639A6" w:rsidP="00D639A6">
      <w:pPr>
        <w:spacing w:after="160" w:line="259" w:lineRule="auto"/>
        <w:jc w:val="both"/>
        <w:rPr>
          <w:rFonts w:ascii="Arial Narrow" w:eastAsia="Calibri" w:hAnsi="Arial Narrow"/>
          <w:sz w:val="23"/>
          <w:szCs w:val="23"/>
          <w:lang w:eastAsia="en-US"/>
        </w:rPr>
      </w:pPr>
      <w:r w:rsidRPr="00BD4F23">
        <w:rPr>
          <w:rFonts w:ascii="Arial Narrow" w:eastAsia="Calibri" w:hAnsi="Arial Narrow"/>
          <w:sz w:val="23"/>
          <w:szCs w:val="23"/>
          <w:lang w:eastAsia="en-US"/>
        </w:rPr>
        <w:t xml:space="preserve">POPiHN podtrzymuje prognozę na najbliższe lata, iż zarówno całkowity rynek olejów smarowych, jak również obydwa jego główne komponenty - motoryzacyjny i przemysłowy - będą zachowywać się stabilnie, pozostając na aktualnie obserwowanych poziomach. Ewentualne wzrostowe odchylenia powinny być </w:t>
      </w:r>
      <w:r w:rsidR="007E11E9">
        <w:rPr>
          <w:rFonts w:ascii="Arial Narrow" w:eastAsia="Calibri" w:hAnsi="Arial Narrow"/>
          <w:sz w:val="23"/>
          <w:szCs w:val="23"/>
          <w:lang w:eastAsia="en-US"/>
        </w:rPr>
        <w:t>niewielkie i wahać </w:t>
      </w:r>
      <w:r w:rsidRPr="00BD4F23">
        <w:rPr>
          <w:rFonts w:ascii="Arial Narrow" w:eastAsia="Calibri" w:hAnsi="Arial Narrow"/>
          <w:sz w:val="23"/>
          <w:szCs w:val="23"/>
          <w:lang w:eastAsia="en-US"/>
        </w:rPr>
        <w:t>się w granicach błędu statystycznego.</w:t>
      </w:r>
    </w:p>
    <w:p w:rsidR="007E11E9" w:rsidRDefault="007E11E9" w:rsidP="00D639A6">
      <w:pPr>
        <w:spacing w:after="160" w:line="259" w:lineRule="auto"/>
        <w:jc w:val="both"/>
        <w:rPr>
          <w:rFonts w:ascii="Arial Narrow" w:eastAsia="Calibri" w:hAnsi="Arial Narrow"/>
          <w:sz w:val="23"/>
          <w:szCs w:val="23"/>
          <w:lang w:eastAsia="en-US"/>
        </w:rPr>
      </w:pPr>
    </w:p>
    <w:p w:rsidR="007E11E9" w:rsidRDefault="007E11E9" w:rsidP="00D639A6">
      <w:pPr>
        <w:spacing w:after="160" w:line="259" w:lineRule="auto"/>
        <w:jc w:val="both"/>
        <w:rPr>
          <w:rFonts w:ascii="Arial Narrow" w:eastAsia="Calibri" w:hAnsi="Arial Narrow"/>
          <w:sz w:val="23"/>
          <w:szCs w:val="23"/>
          <w:lang w:eastAsia="en-US"/>
        </w:rPr>
      </w:pPr>
    </w:p>
    <w:p w:rsidR="007E11E9" w:rsidRDefault="007E11E9" w:rsidP="00D639A6">
      <w:pPr>
        <w:spacing w:after="160" w:line="259" w:lineRule="auto"/>
        <w:jc w:val="both"/>
        <w:rPr>
          <w:rFonts w:ascii="Arial Narrow" w:eastAsia="Calibri" w:hAnsi="Arial Narrow"/>
          <w:sz w:val="23"/>
          <w:szCs w:val="23"/>
          <w:lang w:eastAsia="en-US"/>
        </w:rPr>
      </w:pPr>
    </w:p>
    <w:p w:rsidR="00495B30" w:rsidRDefault="00495B30" w:rsidP="00D639A6">
      <w:pPr>
        <w:spacing w:after="160" w:line="259" w:lineRule="auto"/>
        <w:jc w:val="both"/>
        <w:rPr>
          <w:rFonts w:ascii="Arial Narrow" w:eastAsia="Calibri" w:hAnsi="Arial Narrow"/>
          <w:sz w:val="23"/>
          <w:szCs w:val="23"/>
          <w:lang w:eastAsia="en-US"/>
        </w:rPr>
      </w:pPr>
    </w:p>
    <w:p w:rsidR="007021C7" w:rsidRPr="007E11E9" w:rsidRDefault="00D639A6" w:rsidP="00D639A6">
      <w:pPr>
        <w:spacing w:after="160" w:line="259" w:lineRule="auto"/>
        <w:jc w:val="both"/>
        <w:rPr>
          <w:rFonts w:ascii="Arial Narrow" w:eastAsia="Calibri" w:hAnsi="Arial Narrow"/>
          <w:sz w:val="23"/>
          <w:szCs w:val="23"/>
          <w:lang w:eastAsia="en-US"/>
        </w:rPr>
      </w:pPr>
      <w:r w:rsidRPr="00BD4F23">
        <w:rPr>
          <w:rFonts w:ascii="Arial Narrow" w:eastAsia="Calibri" w:hAnsi="Arial Narrow"/>
          <w:sz w:val="23"/>
          <w:szCs w:val="23"/>
          <w:lang w:eastAsia="en-US"/>
        </w:rPr>
        <w:t>Należy przyjąć, że w scenariuszu przedłużającego się spowolnienia gospodarczego w strefie euro, naw</w:t>
      </w:r>
      <w:r w:rsidR="007E11E9">
        <w:rPr>
          <w:rFonts w:ascii="Arial Narrow" w:eastAsia="Calibri" w:hAnsi="Arial Narrow"/>
          <w:sz w:val="23"/>
          <w:szCs w:val="23"/>
          <w:lang w:eastAsia="en-US"/>
        </w:rPr>
        <w:t>et w </w:t>
      </w:r>
      <w:r w:rsidRPr="00BD4F23">
        <w:rPr>
          <w:rFonts w:ascii="Arial Narrow" w:eastAsia="Calibri" w:hAnsi="Arial Narrow"/>
          <w:sz w:val="23"/>
          <w:szCs w:val="23"/>
          <w:lang w:eastAsia="en-US"/>
        </w:rPr>
        <w:t xml:space="preserve">obliczu znacznych inwestycji infrastrukturalnych w unijnej perspektywie 2014-2020, trwalsze przekroczenie przez PKB Polski poziomu 4% w najbliższych latach będzie znaczącym sukcesem. Dopiero taki poziom wzrostu mógłby przełożyć się na powrót rekordowych poziomów sprzedaży w branży olejowej. </w:t>
      </w:r>
    </w:p>
    <w:p w:rsidR="00D639A6" w:rsidRPr="00BD4F23" w:rsidRDefault="00D639A6" w:rsidP="00D639A6">
      <w:pPr>
        <w:spacing w:after="160" w:line="259" w:lineRule="auto"/>
        <w:jc w:val="both"/>
        <w:rPr>
          <w:rFonts w:ascii="Arial Narrow" w:eastAsia="Calibri" w:hAnsi="Arial Narrow"/>
          <w:sz w:val="23"/>
          <w:szCs w:val="23"/>
          <w:lang w:eastAsia="en-US"/>
        </w:rPr>
      </w:pPr>
      <w:r w:rsidRPr="00BD4F23">
        <w:rPr>
          <w:rFonts w:ascii="Arial Narrow" w:eastAsia="Calibri" w:hAnsi="Arial Narrow"/>
          <w:b/>
          <w:sz w:val="23"/>
          <w:szCs w:val="23"/>
          <w:lang w:eastAsia="en-US"/>
        </w:rPr>
        <w:t>Nieskuteczność w zwalczaniu szarej strefy</w:t>
      </w:r>
      <w:r w:rsidRPr="00BD4F23">
        <w:rPr>
          <w:rFonts w:ascii="Arial Narrow" w:eastAsia="Calibri" w:hAnsi="Arial Narrow"/>
          <w:sz w:val="23"/>
          <w:szCs w:val="23"/>
          <w:lang w:eastAsia="en-US"/>
        </w:rPr>
        <w:t xml:space="preserve">, o której POPiHN mówi </w:t>
      </w:r>
      <w:r w:rsidR="00EF6DF6" w:rsidRPr="00BD4F23">
        <w:rPr>
          <w:rFonts w:ascii="Arial Narrow" w:eastAsia="Calibri" w:hAnsi="Arial Narrow"/>
          <w:sz w:val="23"/>
          <w:szCs w:val="23"/>
          <w:lang w:eastAsia="en-US"/>
        </w:rPr>
        <w:t xml:space="preserve">od kilku lat, jest  kluczowym </w:t>
      </w:r>
      <w:r w:rsidRPr="00BD4F23">
        <w:rPr>
          <w:rFonts w:ascii="Arial Narrow" w:eastAsia="Calibri" w:hAnsi="Arial Narrow"/>
          <w:sz w:val="23"/>
          <w:szCs w:val="23"/>
          <w:lang w:eastAsia="en-US"/>
        </w:rPr>
        <w:t>-</w:t>
      </w:r>
      <w:r w:rsidR="00EF6DF6" w:rsidRPr="00BD4F23">
        <w:rPr>
          <w:rFonts w:ascii="Arial Narrow" w:eastAsia="Calibri" w:hAnsi="Arial Narrow"/>
          <w:sz w:val="23"/>
          <w:szCs w:val="23"/>
          <w:lang w:eastAsia="en-US"/>
        </w:rPr>
        <w:t xml:space="preserve"> i</w:t>
      </w:r>
      <w:r w:rsidRPr="00BD4F23">
        <w:rPr>
          <w:rFonts w:ascii="Arial Narrow" w:eastAsia="Calibri" w:hAnsi="Arial Narrow"/>
          <w:sz w:val="23"/>
          <w:szCs w:val="23"/>
          <w:lang w:eastAsia="en-US"/>
        </w:rPr>
        <w:t xml:space="preserve"> niestety trwale już wpisanym w obraz krajowego rynku - elementem. Wśród głównych postulatów branży od lat znajduje się </w:t>
      </w:r>
      <w:r w:rsidRPr="00BD4F23">
        <w:rPr>
          <w:rFonts w:ascii="Arial Narrow" w:eastAsia="Calibri" w:hAnsi="Arial Narrow"/>
          <w:b/>
          <w:sz w:val="23"/>
          <w:szCs w:val="23"/>
          <w:lang w:eastAsia="en-US"/>
        </w:rPr>
        <w:t xml:space="preserve">wyrównanie opodatkowania olejów pomiędzy Polską a krajami ościennymi poprzez wprowadzenie jednolitej "stawki zero" lub innej jednolitej stawki dla wszystkich produktów smarowych zarówno </w:t>
      </w:r>
      <w:r w:rsidR="00495B30">
        <w:rPr>
          <w:rFonts w:ascii="Arial Narrow" w:eastAsia="Calibri" w:hAnsi="Arial Narrow"/>
          <w:b/>
          <w:sz w:val="23"/>
          <w:szCs w:val="23"/>
          <w:lang w:eastAsia="en-US"/>
        </w:rPr>
        <w:t xml:space="preserve">         </w:t>
      </w:r>
      <w:r w:rsidRPr="00BD4F23">
        <w:rPr>
          <w:rFonts w:ascii="Arial Narrow" w:eastAsia="Calibri" w:hAnsi="Arial Narrow"/>
          <w:b/>
          <w:sz w:val="23"/>
          <w:szCs w:val="23"/>
          <w:lang w:eastAsia="en-US"/>
        </w:rPr>
        <w:t>w Polsce, jak i w całej Unii Europejskiej.</w:t>
      </w:r>
      <w:r w:rsidRPr="00BD4F23">
        <w:rPr>
          <w:rFonts w:ascii="Arial Narrow" w:eastAsia="Calibri" w:hAnsi="Arial Narrow"/>
          <w:sz w:val="23"/>
          <w:szCs w:val="23"/>
          <w:lang w:eastAsia="en-US"/>
        </w:rPr>
        <w:t xml:space="preserve"> Zasadniczą korzyścią takiego rozwiązania jest likwidacja zachęt do unikania opodatkowania poprzez import prywatny i równoległy z ościennych krajów, jednakże </w:t>
      </w:r>
      <w:r w:rsidRPr="00BD4F23">
        <w:rPr>
          <w:rFonts w:ascii="Arial Narrow" w:eastAsia="Calibri" w:hAnsi="Arial Narrow"/>
          <w:b/>
          <w:sz w:val="23"/>
          <w:szCs w:val="23"/>
          <w:lang w:eastAsia="en-US"/>
        </w:rPr>
        <w:t>przy</w:t>
      </w:r>
      <w:r w:rsidRPr="00BD4F23">
        <w:rPr>
          <w:rFonts w:ascii="Arial Narrow" w:eastAsia="Calibri" w:hAnsi="Arial Narrow"/>
          <w:sz w:val="23"/>
          <w:szCs w:val="23"/>
          <w:lang w:eastAsia="en-US"/>
        </w:rPr>
        <w:t xml:space="preserve"> </w:t>
      </w:r>
      <w:r w:rsidRPr="00BD4F23">
        <w:rPr>
          <w:rFonts w:ascii="Arial Narrow" w:eastAsia="Calibri" w:hAnsi="Arial Narrow"/>
          <w:b/>
          <w:sz w:val="23"/>
          <w:szCs w:val="23"/>
          <w:lang w:eastAsia="en-US"/>
        </w:rPr>
        <w:t>zachowaniu kontroli nad produktem poprzez system EMCS</w:t>
      </w:r>
      <w:r w:rsidR="007E11E9">
        <w:rPr>
          <w:rFonts w:ascii="Arial Narrow" w:eastAsia="Calibri" w:hAnsi="Arial Narrow"/>
          <w:sz w:val="23"/>
          <w:szCs w:val="23"/>
          <w:lang w:eastAsia="en-US"/>
        </w:rPr>
        <w:t>. System ten działa dobrze w </w:t>
      </w:r>
      <w:r w:rsidRPr="00BD4F23">
        <w:rPr>
          <w:rFonts w:ascii="Arial Narrow" w:eastAsia="Calibri" w:hAnsi="Arial Narrow"/>
          <w:sz w:val="23"/>
          <w:szCs w:val="23"/>
          <w:lang w:eastAsia="en-US"/>
        </w:rPr>
        <w:t xml:space="preserve">Polsce, ale zarazem okazuje się w znacznym stopniu </w:t>
      </w:r>
      <w:r w:rsidRPr="00BD4F23">
        <w:rPr>
          <w:rFonts w:ascii="Arial Narrow" w:eastAsia="Calibri" w:hAnsi="Arial Narrow"/>
          <w:b/>
          <w:sz w:val="23"/>
          <w:szCs w:val="23"/>
          <w:lang w:eastAsia="en-US"/>
        </w:rPr>
        <w:t xml:space="preserve">bezużyteczny w momencie rzeczywistych, bądź tylko deklarowanych przemieszczeń </w:t>
      </w:r>
      <w:proofErr w:type="spellStart"/>
      <w:r w:rsidRPr="00BD4F23">
        <w:rPr>
          <w:rFonts w:ascii="Arial Narrow" w:eastAsia="Calibri" w:hAnsi="Arial Narrow"/>
          <w:b/>
          <w:sz w:val="23"/>
          <w:szCs w:val="23"/>
          <w:lang w:eastAsia="en-US"/>
        </w:rPr>
        <w:t>transgranicznych</w:t>
      </w:r>
      <w:proofErr w:type="spellEnd"/>
      <w:r w:rsidRPr="00BD4F23">
        <w:rPr>
          <w:rFonts w:ascii="Arial Narrow" w:eastAsia="Calibri" w:hAnsi="Arial Narrow"/>
          <w:sz w:val="23"/>
          <w:szCs w:val="23"/>
          <w:lang w:eastAsia="en-US"/>
        </w:rPr>
        <w:t xml:space="preserve">. </w:t>
      </w:r>
    </w:p>
    <w:p w:rsidR="00D639A6" w:rsidRPr="00BD4F23" w:rsidRDefault="00D639A6" w:rsidP="00D639A6">
      <w:pPr>
        <w:spacing w:after="160" w:line="259" w:lineRule="auto"/>
        <w:jc w:val="both"/>
        <w:rPr>
          <w:rFonts w:ascii="Arial Narrow" w:eastAsia="Calibri" w:hAnsi="Arial Narrow"/>
          <w:sz w:val="23"/>
          <w:szCs w:val="23"/>
          <w:lang w:eastAsia="en-US"/>
        </w:rPr>
      </w:pPr>
      <w:r w:rsidRPr="00BD4F23">
        <w:rPr>
          <w:rFonts w:ascii="Arial Narrow" w:eastAsia="Calibri" w:hAnsi="Arial Narrow"/>
          <w:sz w:val="23"/>
          <w:szCs w:val="23"/>
          <w:lang w:eastAsia="en-US"/>
        </w:rPr>
        <w:t>Przedstawiciele organów administracji państwowej stawiają już oficjalnie tezy</w:t>
      </w:r>
      <w:r w:rsidR="007E11E9">
        <w:rPr>
          <w:rFonts w:ascii="Arial Narrow" w:eastAsia="Calibri" w:hAnsi="Arial Narrow"/>
          <w:sz w:val="23"/>
          <w:szCs w:val="23"/>
          <w:lang w:eastAsia="en-US"/>
        </w:rPr>
        <w:t xml:space="preserve"> iż „lokalizacja Polski czyni z </w:t>
      </w:r>
      <w:r w:rsidRPr="00BD4F23">
        <w:rPr>
          <w:rFonts w:ascii="Arial Narrow" w:eastAsia="Calibri" w:hAnsi="Arial Narrow"/>
          <w:sz w:val="23"/>
          <w:szCs w:val="23"/>
          <w:lang w:eastAsia="en-US"/>
        </w:rPr>
        <w:t>niej swoisty</w:t>
      </w:r>
      <w:r w:rsidRPr="00BD4F23">
        <w:rPr>
          <w:rFonts w:ascii="Arial Narrow" w:eastAsia="Calibri" w:hAnsi="Arial Narrow"/>
          <w:b/>
          <w:sz w:val="23"/>
          <w:szCs w:val="23"/>
          <w:lang w:eastAsia="en-US"/>
        </w:rPr>
        <w:t xml:space="preserve"> hub dla importu olejów smarowych i ich przerabiania na olej napędowy</w:t>
      </w:r>
      <w:r w:rsidRPr="00BD4F23">
        <w:rPr>
          <w:rFonts w:ascii="Arial Narrow" w:eastAsia="Calibri" w:hAnsi="Arial Narrow"/>
          <w:sz w:val="23"/>
          <w:szCs w:val="23"/>
          <w:lang w:eastAsia="en-US"/>
        </w:rPr>
        <w:t xml:space="preserve">”. Znajduje to potwierdzenie w kolejnych </w:t>
      </w:r>
      <w:r w:rsidRPr="00BD4F23">
        <w:rPr>
          <w:rFonts w:ascii="Arial Narrow" w:eastAsia="Calibri" w:hAnsi="Arial Narrow"/>
          <w:b/>
          <w:sz w:val="23"/>
          <w:szCs w:val="23"/>
          <w:lang w:eastAsia="en-US"/>
        </w:rPr>
        <w:t>wyrokach sądowych</w:t>
      </w:r>
      <w:r w:rsidRPr="00BD4F23">
        <w:rPr>
          <w:rFonts w:ascii="Arial Narrow" w:eastAsia="Calibri" w:hAnsi="Arial Narrow"/>
          <w:sz w:val="23"/>
          <w:szCs w:val="23"/>
          <w:lang w:eastAsia="en-US"/>
        </w:rPr>
        <w:t xml:space="preserve"> stwierdzających unikanie zapłacenia VAT-u bądź akcyzy np. przy zakupie olejów w Niemczech  i ich rozładunku w Polsce,  pomimo zadeklarowanego celu dostawy znajdującego się w Republice Czeskiej. Także w oficjalnych dokumentach Ministerstwa Spraw Wewnętrznych i Administracji problem szarej strefy w obrocie paliwami i olejami wymieniany jest </w:t>
      </w:r>
      <w:r w:rsidRPr="00BD4F23">
        <w:rPr>
          <w:rFonts w:ascii="Arial Narrow" w:eastAsia="Calibri" w:hAnsi="Arial Narrow"/>
          <w:b/>
          <w:sz w:val="23"/>
          <w:szCs w:val="23"/>
          <w:lang w:eastAsia="en-US"/>
        </w:rPr>
        <w:t xml:space="preserve">na drugim miejscu </w:t>
      </w:r>
      <w:r w:rsidR="00495B30">
        <w:rPr>
          <w:rFonts w:ascii="Arial Narrow" w:eastAsia="Calibri" w:hAnsi="Arial Narrow"/>
          <w:b/>
          <w:sz w:val="23"/>
          <w:szCs w:val="23"/>
          <w:lang w:eastAsia="en-US"/>
        </w:rPr>
        <w:t xml:space="preserve">                  </w:t>
      </w:r>
      <w:bookmarkStart w:id="0" w:name="_GoBack"/>
      <w:bookmarkEnd w:id="0"/>
      <w:r w:rsidRPr="00BD4F23">
        <w:rPr>
          <w:rFonts w:ascii="Arial Narrow" w:eastAsia="Calibri" w:hAnsi="Arial Narrow"/>
          <w:b/>
          <w:sz w:val="23"/>
          <w:szCs w:val="23"/>
          <w:lang w:eastAsia="en-US"/>
        </w:rPr>
        <w:t>w hierarchii największych zagrożeń dla bezpieczeństwa państwa</w:t>
      </w:r>
      <w:r w:rsidRPr="00BD4F23">
        <w:rPr>
          <w:rFonts w:ascii="Arial Narrow" w:eastAsia="Calibri" w:hAnsi="Arial Narrow"/>
          <w:sz w:val="23"/>
          <w:szCs w:val="23"/>
          <w:lang w:eastAsia="en-US"/>
        </w:rPr>
        <w:t>. Są wreszcie poj</w:t>
      </w:r>
      <w:r w:rsidR="007E11E9">
        <w:rPr>
          <w:rFonts w:ascii="Arial Narrow" w:eastAsia="Calibri" w:hAnsi="Arial Narrow"/>
          <w:sz w:val="23"/>
          <w:szCs w:val="23"/>
          <w:lang w:eastAsia="en-US"/>
        </w:rPr>
        <w:t>edyncze sukcesy Służby Celnej i Policji w </w:t>
      </w:r>
      <w:r w:rsidRPr="00BD4F23">
        <w:rPr>
          <w:rFonts w:ascii="Arial Narrow" w:eastAsia="Calibri" w:hAnsi="Arial Narrow"/>
          <w:sz w:val="23"/>
          <w:szCs w:val="23"/>
          <w:lang w:eastAsia="en-US"/>
        </w:rPr>
        <w:t xml:space="preserve">wykrywaniu i udaremnianiu opisywanych zjawisk.  </w:t>
      </w:r>
    </w:p>
    <w:p w:rsidR="00D639A6" w:rsidRPr="00BD4F23" w:rsidRDefault="00D639A6" w:rsidP="00D639A6">
      <w:pPr>
        <w:spacing w:after="160" w:line="259" w:lineRule="auto"/>
        <w:jc w:val="both"/>
        <w:rPr>
          <w:rFonts w:ascii="Arial Narrow" w:eastAsia="Calibri" w:hAnsi="Arial Narrow"/>
          <w:sz w:val="23"/>
          <w:szCs w:val="23"/>
          <w:lang w:eastAsia="en-US"/>
        </w:rPr>
      </w:pPr>
      <w:r w:rsidRPr="00BD4F23">
        <w:rPr>
          <w:rFonts w:ascii="Arial Narrow" w:eastAsia="Calibri" w:hAnsi="Arial Narrow"/>
          <w:sz w:val="23"/>
          <w:szCs w:val="23"/>
          <w:lang w:eastAsia="en-US"/>
        </w:rPr>
        <w:t>.</w:t>
      </w:r>
    </w:p>
    <w:p w:rsidR="00D639A6" w:rsidRPr="00BD4F23" w:rsidRDefault="00D639A6" w:rsidP="00D639A6">
      <w:pPr>
        <w:spacing w:after="160" w:line="259" w:lineRule="auto"/>
        <w:jc w:val="both"/>
        <w:rPr>
          <w:rFonts w:ascii="Calibri Light" w:eastAsia="Calibri" w:hAnsi="Calibri Light"/>
          <w:sz w:val="23"/>
          <w:szCs w:val="23"/>
          <w:lang w:eastAsia="en-US"/>
        </w:rPr>
      </w:pPr>
    </w:p>
    <w:p w:rsidR="00D639A6" w:rsidRPr="00BD4F23" w:rsidRDefault="00D639A6" w:rsidP="00D639A6">
      <w:pPr>
        <w:spacing w:after="160" w:line="259" w:lineRule="auto"/>
        <w:jc w:val="both"/>
        <w:rPr>
          <w:rFonts w:ascii="Calibri Light" w:eastAsia="Calibri" w:hAnsi="Calibri Light"/>
          <w:sz w:val="23"/>
          <w:szCs w:val="23"/>
          <w:lang w:eastAsia="en-US"/>
        </w:rPr>
      </w:pPr>
    </w:p>
    <w:p w:rsidR="00D639A6" w:rsidRPr="00BD4F23" w:rsidRDefault="00D639A6" w:rsidP="00D639A6">
      <w:pPr>
        <w:spacing w:after="160" w:line="259" w:lineRule="auto"/>
        <w:jc w:val="both"/>
        <w:rPr>
          <w:rFonts w:ascii="Calibri Light" w:eastAsia="Calibri" w:hAnsi="Calibri Light"/>
          <w:sz w:val="23"/>
          <w:szCs w:val="23"/>
          <w:lang w:eastAsia="en-US"/>
        </w:rPr>
      </w:pPr>
    </w:p>
    <w:p w:rsidR="00D639A6" w:rsidRPr="00BD4F23" w:rsidRDefault="00D639A6" w:rsidP="00D639A6">
      <w:pPr>
        <w:spacing w:after="160" w:line="259" w:lineRule="auto"/>
        <w:jc w:val="both"/>
        <w:rPr>
          <w:rFonts w:ascii="Calibri Light" w:eastAsia="Calibri" w:hAnsi="Calibri Light"/>
          <w:sz w:val="23"/>
          <w:szCs w:val="23"/>
          <w:lang w:eastAsia="en-US"/>
        </w:rPr>
      </w:pPr>
    </w:p>
    <w:p w:rsidR="00D639A6" w:rsidRPr="00BD4F23" w:rsidRDefault="00D639A6" w:rsidP="00D639A6">
      <w:pPr>
        <w:spacing w:after="160" w:line="259" w:lineRule="auto"/>
        <w:jc w:val="both"/>
        <w:rPr>
          <w:rFonts w:ascii="Calibri Light" w:eastAsia="Calibri" w:hAnsi="Calibri Light"/>
          <w:sz w:val="23"/>
          <w:szCs w:val="23"/>
          <w:lang w:eastAsia="en-US"/>
        </w:rPr>
      </w:pPr>
    </w:p>
    <w:p w:rsidR="00D639A6" w:rsidRPr="00BD4F23" w:rsidRDefault="00D639A6" w:rsidP="00D639A6">
      <w:pPr>
        <w:spacing w:after="160" w:line="259" w:lineRule="auto"/>
        <w:jc w:val="both"/>
        <w:rPr>
          <w:rFonts w:ascii="Calibri Light" w:eastAsia="Calibri" w:hAnsi="Calibri Light"/>
          <w:sz w:val="23"/>
          <w:szCs w:val="23"/>
          <w:lang w:eastAsia="en-US"/>
        </w:rPr>
      </w:pPr>
    </w:p>
    <w:p w:rsidR="00D639A6" w:rsidRPr="00BD4F23" w:rsidRDefault="00D639A6" w:rsidP="00D639A6">
      <w:pPr>
        <w:spacing w:line="240" w:lineRule="auto"/>
        <w:jc w:val="both"/>
        <w:rPr>
          <w:rFonts w:ascii="Arial Narrow" w:hAnsi="Arial Narrow"/>
          <w:sz w:val="23"/>
          <w:szCs w:val="23"/>
        </w:rPr>
      </w:pPr>
    </w:p>
    <w:p w:rsidR="00D639A6" w:rsidRPr="00BD4F23" w:rsidRDefault="00D639A6" w:rsidP="00D639A6">
      <w:pPr>
        <w:spacing w:line="240" w:lineRule="auto"/>
        <w:ind w:firstLine="720"/>
        <w:jc w:val="both"/>
        <w:rPr>
          <w:rFonts w:ascii="Calibri" w:hAnsi="Calibri" w:cs="Arial"/>
          <w:sz w:val="23"/>
          <w:szCs w:val="23"/>
        </w:rPr>
      </w:pPr>
    </w:p>
    <w:p w:rsidR="006B2002" w:rsidRPr="00BD4F23" w:rsidRDefault="006B2002">
      <w:pPr>
        <w:rPr>
          <w:sz w:val="23"/>
          <w:szCs w:val="23"/>
        </w:rPr>
      </w:pPr>
    </w:p>
    <w:sectPr w:rsidR="006B2002" w:rsidRPr="00BD4F23" w:rsidSect="00D639A6">
      <w:headerReference w:type="default" r:id="rId6"/>
      <w:footerReference w:type="even" r:id="rId7"/>
      <w:footerReference w:type="default" r:id="rId8"/>
      <w:pgSz w:w="11906" w:h="16838" w:code="9"/>
      <w:pgMar w:top="-9" w:right="1531" w:bottom="709" w:left="1276" w:header="426" w:footer="242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A90" w:rsidRDefault="00D32A90">
      <w:pPr>
        <w:spacing w:line="240" w:lineRule="auto"/>
      </w:pPr>
      <w:r>
        <w:separator/>
      </w:r>
    </w:p>
  </w:endnote>
  <w:endnote w:type="continuationSeparator" w:id="0">
    <w:p w:rsidR="00D32A90" w:rsidRDefault="00D32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0F" w:rsidRDefault="00445F9C" w:rsidP="007F51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65" w:rsidRPr="00E15113" w:rsidRDefault="00D639A6" w:rsidP="00F97165">
    <w:pPr>
      <w:pStyle w:val="ReturnAddress"/>
      <w:framePr w:w="0" w:hRule="auto" w:hSpace="0" w:vSpace="0" w:wrap="auto" w:vAnchor="margin" w:hAnchor="text" w:xAlign="left" w:yAlign="inline"/>
      <w:pBdr>
        <w:top w:val="single" w:sz="4" w:space="1" w:color="auto"/>
      </w:pBdr>
      <w:rPr>
        <w:rFonts w:ascii="Cambria" w:eastAsia="Arial Unicode MS" w:hAnsi="Cambria" w:cs="Tahoma"/>
        <w:b/>
        <w:color w:val="000000"/>
        <w:sz w:val="16"/>
        <w:szCs w:val="16"/>
        <w:lang w:val="pl-PL"/>
      </w:rPr>
    </w:pPr>
    <w:r w:rsidRPr="00E15113">
      <w:rPr>
        <w:rFonts w:ascii="Cambria" w:eastAsia="Arial Unicode MS" w:hAnsi="Cambria" w:cs="Tahoma"/>
        <w:b/>
        <w:color w:val="000000"/>
        <w:sz w:val="16"/>
        <w:szCs w:val="16"/>
        <w:lang w:val="pl-PL"/>
      </w:rPr>
      <w:t xml:space="preserve">uL.Rejtana 17 LOK. 36 | 02-516 wARSZAWA | TEL/FAX: +48 22 848 3605, +48 22 848 4590  </w:t>
    </w:r>
  </w:p>
  <w:p w:rsidR="004E592F" w:rsidRPr="00D20BE8" w:rsidRDefault="00D639A6" w:rsidP="00F97165">
    <w:pPr>
      <w:pStyle w:val="ReturnAddress"/>
      <w:framePr w:w="0" w:hRule="auto" w:hSpace="0" w:vSpace="0" w:wrap="auto" w:vAnchor="margin" w:hAnchor="text" w:xAlign="left" w:yAlign="inline"/>
      <w:pBdr>
        <w:top w:val="single" w:sz="4" w:space="1" w:color="auto"/>
      </w:pBdr>
      <w:rPr>
        <w:rFonts w:ascii="Cambria" w:eastAsia="Arial Unicode MS" w:hAnsi="Cambria" w:cs="Tahoma"/>
        <w:b/>
        <w:color w:val="000000"/>
        <w:sz w:val="16"/>
        <w:szCs w:val="16"/>
      </w:rPr>
    </w:pPr>
    <w:r w:rsidRPr="00D20BE8">
      <w:rPr>
        <w:rFonts w:ascii="Cambria" w:eastAsia="Arial Unicode MS" w:hAnsi="Cambria" w:cs="Tahoma"/>
        <w:b/>
        <w:color w:val="000000"/>
        <w:sz w:val="16"/>
        <w:szCs w:val="16"/>
      </w:rPr>
      <w:t>E</w:t>
    </w:r>
    <w:r w:rsidRPr="00D20BE8">
      <w:rPr>
        <w:rFonts w:ascii="Cambria" w:eastAsia="Arial Unicode MS" w:hAnsi="Cambria" w:cs="Tahoma"/>
        <w:b/>
        <w:caps w:val="0"/>
        <w:color w:val="000000"/>
        <w:sz w:val="16"/>
        <w:szCs w:val="16"/>
      </w:rPr>
      <w:t>-MAIL</w:t>
    </w:r>
    <w:r w:rsidRPr="00D20BE8">
      <w:rPr>
        <w:rFonts w:ascii="Cambria" w:eastAsia="Arial Unicode MS" w:hAnsi="Cambria" w:cs="Tahoma"/>
        <w:b/>
        <w:color w:val="000000"/>
        <w:sz w:val="16"/>
        <w:szCs w:val="16"/>
      </w:rPr>
      <w:t xml:space="preserve">: </w:t>
    </w:r>
    <w:hyperlink r:id="rId1" w:history="1">
      <w:r w:rsidRPr="00D20BE8">
        <w:rPr>
          <w:rStyle w:val="Hipercze"/>
          <w:rFonts w:ascii="Cambria" w:eastAsia="Arial Unicode MS" w:hAnsi="Cambria" w:cs="Tahoma"/>
          <w:b/>
          <w:caps w:val="0"/>
          <w:color w:val="000000"/>
          <w:sz w:val="16"/>
          <w:szCs w:val="16"/>
        </w:rPr>
        <w:t>popihn@popihn.pl</w:t>
      </w:r>
    </w:hyperlink>
    <w:r w:rsidRPr="00D20BE8">
      <w:rPr>
        <w:rFonts w:ascii="Cambria" w:eastAsia="Arial Unicode MS" w:hAnsi="Cambria" w:cs="Tahoma"/>
        <w:b/>
        <w:caps w:val="0"/>
        <w:color w:val="000000"/>
        <w:sz w:val="16"/>
        <w:szCs w:val="16"/>
      </w:rPr>
      <w:t xml:space="preserve"> </w:t>
    </w:r>
    <w:r w:rsidRPr="00D20BE8">
      <w:rPr>
        <w:rFonts w:ascii="Cambria" w:eastAsia="Arial Unicode MS" w:hAnsi="Cambria" w:cs="Tahoma"/>
        <w:b/>
        <w:color w:val="000000"/>
        <w:sz w:val="16"/>
        <w:szCs w:val="16"/>
      </w:rPr>
      <w:t xml:space="preserve">| </w:t>
    </w:r>
    <w:hyperlink r:id="rId2" w:history="1">
      <w:r w:rsidRPr="00D20BE8">
        <w:rPr>
          <w:rStyle w:val="Hipercze"/>
          <w:rFonts w:ascii="Cambria" w:eastAsia="Arial Unicode MS" w:hAnsi="Cambria" w:cs="Tahoma"/>
          <w:b/>
          <w:color w:val="000000"/>
          <w:sz w:val="16"/>
          <w:szCs w:val="16"/>
        </w:rPr>
        <w:t>www.popihn.pl</w:t>
      </w:r>
    </w:hyperlink>
  </w:p>
  <w:p w:rsidR="0040135C" w:rsidRPr="00E15113" w:rsidRDefault="00D639A6" w:rsidP="00F97165">
    <w:pPr>
      <w:pStyle w:val="ReturnAddress"/>
      <w:framePr w:w="0" w:hRule="auto" w:hSpace="0" w:vSpace="0" w:wrap="auto" w:vAnchor="margin" w:hAnchor="text" w:xAlign="left" w:yAlign="inline"/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</w:pPr>
    <w:r w:rsidRPr="00E15113">
      <w:rPr>
        <w:rFonts w:ascii="Cambria" w:eastAsia="Arial Unicode MS" w:hAnsi="Cambria" w:cs="Tahoma"/>
        <w:b/>
        <w:i/>
        <w:color w:val="000000"/>
        <w:sz w:val="13"/>
        <w:szCs w:val="13"/>
      </w:rPr>
      <w:t xml:space="preserve">*bp Europa S.E. *fuchs oil corp. </w:t>
    </w:r>
    <w:r w:rsidRPr="00E15113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 xml:space="preserve">Sp z o.o. *Grupa LOTOS s.a. *Lukoil Polska sp. z o.o. *OLPP Sp. z o.o. *perN „PRZYJAŹŃ” S.A. *PKN Orlen S.A. *shell Polska sp. z o.o. *SLOVNAFT polska s.a. </w:t>
    </w:r>
  </w:p>
  <w:p w:rsidR="004E592F" w:rsidRPr="00E15113" w:rsidRDefault="00D639A6" w:rsidP="00F97165">
    <w:pPr>
      <w:pStyle w:val="ReturnAddress"/>
      <w:framePr w:w="0" w:hRule="auto" w:hSpace="0" w:vSpace="0" w:wrap="auto" w:vAnchor="margin" w:hAnchor="text" w:xAlign="left" w:yAlign="inline"/>
      <w:rPr>
        <w:rFonts w:ascii="Cambria" w:eastAsia="Arial Unicode MS" w:hAnsi="Cambria" w:cs="Tahoma"/>
        <w:b/>
        <w:i/>
        <w:color w:val="000000"/>
        <w:sz w:val="16"/>
        <w:szCs w:val="16"/>
        <w:lang w:val="pl-PL"/>
      </w:rPr>
    </w:pPr>
    <w:r w:rsidRPr="00E15113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*statoil Fuel &amp; retail Polska sp. z o.o. *Tanquid Polska Sp. z o.o. *total polska sp. z o.o</w:t>
    </w:r>
    <w:r w:rsidRPr="00E15113">
      <w:rPr>
        <w:rFonts w:ascii="Cambria" w:eastAsia="Arial Unicode MS" w:hAnsi="Cambria" w:cs="Tahoma"/>
        <w:b/>
        <w:i/>
        <w:color w:val="000000"/>
        <w:sz w:val="16"/>
        <w:szCs w:val="16"/>
        <w:lang w:val="pl-PL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A90" w:rsidRDefault="00D32A90">
      <w:pPr>
        <w:spacing w:line="240" w:lineRule="auto"/>
      </w:pPr>
      <w:r>
        <w:separator/>
      </w:r>
    </w:p>
  </w:footnote>
  <w:footnote w:type="continuationSeparator" w:id="0">
    <w:p w:rsidR="00D32A90" w:rsidRDefault="00D32A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0F" w:rsidRDefault="00D20BE8" w:rsidP="002B3B99">
    <w:pPr>
      <w:pStyle w:val="Nagwek"/>
      <w:ind w:left="-142"/>
    </w:pPr>
    <w:r>
      <w:rPr>
        <w:noProof/>
        <w:lang w:val="pl-PL"/>
      </w:rPr>
      <w:drawing>
        <wp:inline distT="0" distB="0" distL="0" distR="0">
          <wp:extent cx="2590800" cy="400050"/>
          <wp:effectExtent l="0" t="0" r="0" b="0"/>
          <wp:docPr id="1" name="Obraz 1" descr="Woj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oj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639A6"/>
    <w:rsid w:val="000E53DB"/>
    <w:rsid w:val="0027336B"/>
    <w:rsid w:val="00445F9C"/>
    <w:rsid w:val="00495B30"/>
    <w:rsid w:val="00680F6B"/>
    <w:rsid w:val="006B2002"/>
    <w:rsid w:val="007021C7"/>
    <w:rsid w:val="00764DDB"/>
    <w:rsid w:val="007E11E9"/>
    <w:rsid w:val="00A201AD"/>
    <w:rsid w:val="00BD4F23"/>
    <w:rsid w:val="00BD6E14"/>
    <w:rsid w:val="00C46BFB"/>
    <w:rsid w:val="00CE539C"/>
    <w:rsid w:val="00D20BE8"/>
    <w:rsid w:val="00D32A90"/>
    <w:rsid w:val="00D639A6"/>
    <w:rsid w:val="00EF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9A6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panyName">
    <w:name w:val="Company Name"/>
    <w:basedOn w:val="Tekstpodstawowy"/>
    <w:next w:val="Data"/>
    <w:rsid w:val="00D639A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val="en-AU"/>
    </w:rPr>
  </w:style>
  <w:style w:type="paragraph" w:customStyle="1" w:styleId="ReturnAddress">
    <w:name w:val="Return Address"/>
    <w:rsid w:val="00D639A6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rsid w:val="00D639A6"/>
    <w:pPr>
      <w:tabs>
        <w:tab w:val="center" w:pos="4320"/>
        <w:tab w:val="right" w:pos="8640"/>
      </w:tabs>
      <w:jc w:val="both"/>
    </w:pPr>
    <w:rPr>
      <w:rFonts w:ascii="Garamond" w:hAnsi="Garamond"/>
      <w:kern w:val="18"/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D639A6"/>
    <w:rPr>
      <w:rFonts w:ascii="Garamond" w:eastAsia="Times New Roman" w:hAnsi="Garamond" w:cs="Times New Roman"/>
      <w:kern w:val="18"/>
      <w:sz w:val="24"/>
      <w:szCs w:val="20"/>
      <w:lang w:val="en-AU" w:eastAsia="pl-PL"/>
    </w:rPr>
  </w:style>
  <w:style w:type="paragraph" w:styleId="Stopka">
    <w:name w:val="footer"/>
    <w:basedOn w:val="Normalny"/>
    <w:link w:val="StopkaZnak"/>
    <w:uiPriority w:val="99"/>
    <w:rsid w:val="00D639A6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9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D639A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39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39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639A6"/>
  </w:style>
  <w:style w:type="character" w:customStyle="1" w:styleId="DataZnak">
    <w:name w:val="Data Znak"/>
    <w:basedOn w:val="Domylnaczcionkaakapitu"/>
    <w:link w:val="Data"/>
    <w:uiPriority w:val="99"/>
    <w:semiHidden/>
    <w:rsid w:val="00D639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1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pihn.pl" TargetMode="External"/><Relationship Id="rId1" Type="http://schemas.openxmlformats.org/officeDocument/2006/relationships/hyperlink" Target="mailto:popihn@popih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2016-04-01T07:38:00Z</dcterms:created>
  <dcterms:modified xsi:type="dcterms:W3CDTF">2016-04-01T07:38:00Z</dcterms:modified>
</cp:coreProperties>
</file>