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91" w:rsidRPr="002D53A7" w:rsidRDefault="00E66553" w:rsidP="00215B7C">
      <w:pPr>
        <w:spacing w:line="240" w:lineRule="auto"/>
        <w:jc w:val="right"/>
        <w:rPr>
          <w:rFonts w:ascii="Arial Narrow" w:hAnsi="Arial Narrow" w:cs="Arial"/>
          <w:sz w:val="20"/>
          <w:szCs w:val="24"/>
        </w:rPr>
      </w:pPr>
      <w:r w:rsidRPr="002D53A7">
        <w:rPr>
          <w:rFonts w:ascii="Arial Narrow" w:hAnsi="Arial Narrow" w:cs="Arial"/>
          <w:b/>
          <w:szCs w:val="24"/>
        </w:rPr>
        <w:tab/>
      </w:r>
      <w:r w:rsidR="004202DB" w:rsidRPr="002D53A7">
        <w:rPr>
          <w:rFonts w:ascii="Arial Narrow" w:hAnsi="Arial Narrow" w:cs="Arial"/>
          <w:sz w:val="20"/>
          <w:szCs w:val="24"/>
        </w:rPr>
        <w:t xml:space="preserve">Warszawa,  </w:t>
      </w:r>
      <w:r w:rsidR="006640C1">
        <w:rPr>
          <w:rFonts w:ascii="Arial Narrow" w:hAnsi="Arial Narrow" w:cs="Arial"/>
          <w:sz w:val="20"/>
          <w:szCs w:val="24"/>
        </w:rPr>
        <w:t>2</w:t>
      </w:r>
      <w:r w:rsidR="00CB5B6F" w:rsidRPr="002D53A7">
        <w:rPr>
          <w:rFonts w:ascii="Arial Narrow" w:hAnsi="Arial Narrow" w:cs="Arial"/>
          <w:sz w:val="20"/>
          <w:szCs w:val="24"/>
        </w:rPr>
        <w:t>6</w:t>
      </w:r>
      <w:r w:rsidR="004202DB" w:rsidRPr="002D53A7">
        <w:rPr>
          <w:rFonts w:ascii="Arial Narrow" w:hAnsi="Arial Narrow" w:cs="Arial"/>
          <w:sz w:val="20"/>
          <w:szCs w:val="24"/>
        </w:rPr>
        <w:t>.0</w:t>
      </w:r>
      <w:r w:rsidR="006640C1">
        <w:rPr>
          <w:rFonts w:ascii="Arial Narrow" w:hAnsi="Arial Narrow" w:cs="Arial"/>
          <w:sz w:val="20"/>
          <w:szCs w:val="24"/>
        </w:rPr>
        <w:t>3</w:t>
      </w:r>
      <w:bookmarkStart w:id="0" w:name="_GoBack"/>
      <w:bookmarkEnd w:id="0"/>
      <w:r w:rsidR="004202DB" w:rsidRPr="002D53A7">
        <w:rPr>
          <w:rFonts w:ascii="Arial Narrow" w:hAnsi="Arial Narrow" w:cs="Arial"/>
          <w:sz w:val="20"/>
          <w:szCs w:val="24"/>
        </w:rPr>
        <w:t>.2015</w:t>
      </w:r>
    </w:p>
    <w:p w:rsidR="00BF3D91" w:rsidRPr="002D53A7" w:rsidRDefault="00BF3D91" w:rsidP="00BF3D91">
      <w:pPr>
        <w:spacing w:line="240" w:lineRule="auto"/>
        <w:ind w:left="720"/>
        <w:jc w:val="both"/>
        <w:rPr>
          <w:rFonts w:ascii="Arial Narrow" w:hAnsi="Arial Narrow" w:cs="Arial"/>
          <w:szCs w:val="24"/>
        </w:rPr>
      </w:pPr>
    </w:p>
    <w:p w:rsidR="00C07314" w:rsidRPr="002D53A7" w:rsidRDefault="00C07314" w:rsidP="00BF3D91">
      <w:pPr>
        <w:spacing w:line="240" w:lineRule="auto"/>
        <w:ind w:left="720"/>
        <w:jc w:val="both"/>
        <w:rPr>
          <w:rFonts w:ascii="Arial Narrow" w:hAnsi="Arial Narrow" w:cs="Arial"/>
          <w:szCs w:val="24"/>
        </w:rPr>
      </w:pPr>
    </w:p>
    <w:p w:rsidR="00C32CB7" w:rsidRPr="002D53A7" w:rsidRDefault="00BF3D91" w:rsidP="008458F8">
      <w:pPr>
        <w:spacing w:line="240" w:lineRule="auto"/>
        <w:ind w:left="567"/>
        <w:jc w:val="center"/>
        <w:rPr>
          <w:rFonts w:ascii="Arial Narrow" w:hAnsi="Arial Narrow" w:cs="Arial"/>
          <w:b/>
          <w:sz w:val="28"/>
          <w:szCs w:val="28"/>
        </w:rPr>
      </w:pPr>
      <w:r w:rsidRPr="002D53A7">
        <w:rPr>
          <w:rFonts w:ascii="Arial Narrow" w:hAnsi="Arial Narrow" w:cs="Arial"/>
          <w:b/>
          <w:sz w:val="28"/>
          <w:szCs w:val="28"/>
        </w:rPr>
        <w:t>GŁÓWNE PROBLEMY BRANŻY PALIWOWEJ W POLSCE</w:t>
      </w:r>
    </w:p>
    <w:p w:rsidR="00C07314" w:rsidRPr="002D53A7" w:rsidRDefault="00C07314" w:rsidP="00BF3D91">
      <w:pPr>
        <w:spacing w:line="240" w:lineRule="auto"/>
        <w:ind w:left="720"/>
        <w:jc w:val="both"/>
        <w:rPr>
          <w:rFonts w:ascii="Arial Narrow" w:hAnsi="Arial Narrow" w:cs="Arial"/>
          <w:szCs w:val="24"/>
          <w:highlight w:val="yellow"/>
        </w:rPr>
      </w:pPr>
    </w:p>
    <w:p w:rsidR="00BF3D91" w:rsidRPr="002D53A7" w:rsidRDefault="00BF3D91" w:rsidP="001D24F1">
      <w:pPr>
        <w:pStyle w:val="Akapitzlist"/>
        <w:numPr>
          <w:ilvl w:val="0"/>
          <w:numId w:val="2"/>
        </w:numPr>
        <w:jc w:val="both"/>
        <w:rPr>
          <w:rFonts w:ascii="Arial Narrow" w:hAnsi="Arial Narrow" w:cs="Arial"/>
          <w:b/>
          <w:sz w:val="24"/>
          <w:szCs w:val="24"/>
          <w:u w:val="single"/>
        </w:rPr>
      </w:pPr>
      <w:r w:rsidRPr="002D53A7">
        <w:rPr>
          <w:rFonts w:ascii="Arial Narrow" w:hAnsi="Arial Narrow" w:cs="Arial"/>
          <w:b/>
          <w:sz w:val="24"/>
          <w:szCs w:val="24"/>
          <w:u w:val="single"/>
        </w:rPr>
        <w:t>Przestępczość w obrocie paliwami</w:t>
      </w:r>
    </w:p>
    <w:p w:rsidR="00BF3D91" w:rsidRPr="002D53A7" w:rsidRDefault="00BF3D91" w:rsidP="00BF3D91">
      <w:pPr>
        <w:pStyle w:val="Akapitzlist"/>
        <w:jc w:val="both"/>
        <w:rPr>
          <w:rFonts w:ascii="Arial Narrow" w:hAnsi="Arial Narrow" w:cs="Arial"/>
          <w:b/>
          <w:sz w:val="24"/>
          <w:szCs w:val="24"/>
          <w:u w:val="single"/>
        </w:rPr>
      </w:pPr>
    </w:p>
    <w:p w:rsidR="00DB49F2" w:rsidRPr="002D53A7" w:rsidRDefault="003713A8" w:rsidP="00DB49F2">
      <w:pPr>
        <w:tabs>
          <w:tab w:val="left" w:pos="2580"/>
        </w:tabs>
        <w:spacing w:line="240" w:lineRule="auto"/>
        <w:jc w:val="both"/>
        <w:rPr>
          <w:rFonts w:ascii="Arial Narrow" w:hAnsi="Arial Narrow" w:cs="Arial"/>
          <w:bCs/>
          <w:szCs w:val="24"/>
        </w:rPr>
      </w:pPr>
      <w:r w:rsidRPr="002D53A7">
        <w:rPr>
          <w:rFonts w:ascii="Arial Narrow" w:hAnsi="Arial Narrow" w:cs="Arial"/>
          <w:szCs w:val="24"/>
        </w:rPr>
        <w:t xml:space="preserve">Głównym problemem branży pozostaje przestępczość w obrocie paliwami, systematycznie rosnąca od roku 2011. Jak wynika z analiz firmy doradczej </w:t>
      </w:r>
      <w:proofErr w:type="spellStart"/>
      <w:r w:rsidRPr="002D53A7">
        <w:rPr>
          <w:rFonts w:ascii="Arial Narrow" w:hAnsi="Arial Narrow" w:cs="Arial"/>
          <w:szCs w:val="24"/>
        </w:rPr>
        <w:t>Ernst&amp;Young</w:t>
      </w:r>
      <w:proofErr w:type="spellEnd"/>
      <w:r w:rsidRPr="002D53A7">
        <w:rPr>
          <w:rFonts w:ascii="Arial Narrow" w:hAnsi="Arial Narrow" w:cs="Arial"/>
          <w:szCs w:val="24"/>
        </w:rPr>
        <w:t>, w roku 2013 nastąpił wzrost szacowanych wyłudzeń VAT w obrocie olejem napędowym do poziomu 18,6-24,2% rynku, a straty dla budżetu państwa tylko z tego tytułu mieściły się  w</w:t>
      </w:r>
      <w:r w:rsidR="00E66AB2" w:rsidRPr="002D53A7">
        <w:rPr>
          <w:rFonts w:ascii="Arial Narrow" w:hAnsi="Arial Narrow" w:cs="Arial"/>
          <w:szCs w:val="24"/>
        </w:rPr>
        <w:t xml:space="preserve"> </w:t>
      </w:r>
      <w:r w:rsidRPr="002D53A7">
        <w:rPr>
          <w:rFonts w:ascii="Arial Narrow" w:hAnsi="Arial Narrow" w:cs="Arial"/>
          <w:szCs w:val="24"/>
        </w:rPr>
        <w:t>przedziale od 4,3 do 5,8 mld PLN. Szacunki te nie uwzględniają innych paliw oraz innych rodzajów przestępstw, związanych z obrotem paliwami. Co gorsza, analiza danych za rok 2014  wskazuje na to, że problem ten nadal stanowi główne wyzwanie dla administracji państwowej</w:t>
      </w:r>
      <w:r w:rsidR="00373C8E" w:rsidRPr="002D53A7">
        <w:rPr>
          <w:rFonts w:ascii="Arial Narrow" w:hAnsi="Arial Narrow" w:cs="Arial"/>
          <w:szCs w:val="24"/>
        </w:rPr>
        <w:t xml:space="preserve"> oraz przedsiębiorców, działających z poszanowaniem prawa</w:t>
      </w:r>
      <w:r w:rsidRPr="002D53A7">
        <w:rPr>
          <w:rFonts w:ascii="Arial Narrow" w:hAnsi="Arial Narrow" w:cs="Arial"/>
          <w:szCs w:val="24"/>
        </w:rPr>
        <w:t xml:space="preserve">. </w:t>
      </w:r>
      <w:r w:rsidR="00DB49F2" w:rsidRPr="002D53A7">
        <w:rPr>
          <w:rFonts w:ascii="Arial Narrow" w:hAnsi="Arial Narrow" w:cs="Arial"/>
          <w:szCs w:val="24"/>
        </w:rPr>
        <w:t xml:space="preserve">Paliwa z polskich rafinerii wypierane są z rynku przez paliwa z szarej strefy. </w:t>
      </w:r>
      <w:r w:rsidR="00DE7E31" w:rsidRPr="002D53A7">
        <w:rPr>
          <w:rFonts w:ascii="Arial Narrow" w:hAnsi="Arial Narrow" w:cs="Arial"/>
          <w:szCs w:val="24"/>
        </w:rPr>
        <w:t xml:space="preserve">   </w:t>
      </w:r>
      <w:r w:rsidR="00DB49F2" w:rsidRPr="002D53A7">
        <w:rPr>
          <w:rFonts w:ascii="Arial Narrow" w:hAnsi="Arial Narrow" w:cs="Arial"/>
          <w:bCs/>
          <w:szCs w:val="24"/>
        </w:rPr>
        <w:t xml:space="preserve">W konsekwencji ma miejsce wzrost eksportu polskiego paliwa i tym samym coraz większe uszczuplenie wpływów budżetowych państwa z tytułu należnych podatków od towarów sprzedawanych   w kraju. </w:t>
      </w:r>
    </w:p>
    <w:p w:rsidR="00CE15CD" w:rsidRPr="002D53A7" w:rsidRDefault="00BF3D91" w:rsidP="008975AE">
      <w:pPr>
        <w:spacing w:line="240" w:lineRule="auto"/>
        <w:jc w:val="both"/>
        <w:rPr>
          <w:rFonts w:ascii="Arial Narrow" w:hAnsi="Arial Narrow" w:cs="Arial"/>
          <w:szCs w:val="24"/>
        </w:rPr>
      </w:pPr>
      <w:r w:rsidRPr="002D53A7">
        <w:rPr>
          <w:rFonts w:ascii="Arial Narrow" w:hAnsi="Arial Narrow" w:cs="Arial"/>
          <w:szCs w:val="24"/>
        </w:rPr>
        <w:t>Głównym mechanizmem s</w:t>
      </w:r>
      <w:r w:rsidR="003713A8" w:rsidRPr="002D53A7">
        <w:rPr>
          <w:rFonts w:ascii="Arial Narrow" w:hAnsi="Arial Narrow" w:cs="Arial"/>
          <w:szCs w:val="24"/>
        </w:rPr>
        <w:t>tosowanym przez przestępców pozostaje</w:t>
      </w:r>
      <w:r w:rsidR="001F64DC">
        <w:rPr>
          <w:rFonts w:ascii="Arial Narrow" w:hAnsi="Arial Narrow" w:cs="Arial"/>
          <w:szCs w:val="24"/>
        </w:rPr>
        <w:t xml:space="preserve"> wyłudzanie VAT</w:t>
      </w:r>
      <w:r w:rsidR="00DE7E31" w:rsidRPr="002D53A7">
        <w:rPr>
          <w:rFonts w:ascii="Arial Narrow" w:hAnsi="Arial Narrow" w:cs="Arial"/>
          <w:szCs w:val="24"/>
        </w:rPr>
        <w:t xml:space="preserve"> </w:t>
      </w:r>
      <w:r w:rsidRPr="002D53A7">
        <w:rPr>
          <w:rFonts w:ascii="Arial Narrow" w:hAnsi="Arial Narrow" w:cs="Arial"/>
          <w:szCs w:val="24"/>
        </w:rPr>
        <w:t xml:space="preserve">z wykorzystaniem schematu znikającego podmiotu. Na mniejszą skalę problem dotyczy </w:t>
      </w:r>
      <w:r w:rsidR="003713A8" w:rsidRPr="002D53A7">
        <w:rPr>
          <w:rFonts w:ascii="Arial Narrow" w:hAnsi="Arial Narrow" w:cs="Arial"/>
          <w:szCs w:val="24"/>
        </w:rPr>
        <w:t>pali</w:t>
      </w:r>
      <w:r w:rsidR="00B57F6A">
        <w:rPr>
          <w:rFonts w:ascii="Arial Narrow" w:hAnsi="Arial Narrow" w:cs="Arial"/>
          <w:szCs w:val="24"/>
        </w:rPr>
        <w:t>w takich jak benzyna czy LPG, a </w:t>
      </w:r>
      <w:r w:rsidR="003713A8" w:rsidRPr="002D53A7">
        <w:rPr>
          <w:rFonts w:ascii="Arial Narrow" w:hAnsi="Arial Narrow" w:cs="Arial"/>
          <w:szCs w:val="24"/>
        </w:rPr>
        <w:t xml:space="preserve">także </w:t>
      </w:r>
      <w:r w:rsidRPr="002D53A7">
        <w:rPr>
          <w:rFonts w:ascii="Arial Narrow" w:hAnsi="Arial Narrow" w:cs="Arial"/>
          <w:szCs w:val="24"/>
        </w:rPr>
        <w:t xml:space="preserve">łamania przepisów </w:t>
      </w:r>
      <w:r w:rsidR="008D07BB" w:rsidRPr="002D53A7">
        <w:rPr>
          <w:rFonts w:ascii="Arial Narrow" w:hAnsi="Arial Narrow" w:cs="Arial"/>
          <w:szCs w:val="24"/>
        </w:rPr>
        <w:t xml:space="preserve"> </w:t>
      </w:r>
      <w:r w:rsidRPr="002D53A7">
        <w:rPr>
          <w:rFonts w:ascii="Arial Narrow" w:hAnsi="Arial Narrow" w:cs="Arial"/>
          <w:szCs w:val="24"/>
        </w:rPr>
        <w:t>o podatku akcyzowym</w:t>
      </w:r>
      <w:r w:rsidR="003713A8" w:rsidRPr="002D53A7">
        <w:rPr>
          <w:rFonts w:ascii="Arial Narrow" w:hAnsi="Arial Narrow" w:cs="Arial"/>
          <w:szCs w:val="24"/>
        </w:rPr>
        <w:t xml:space="preserve">, zapasach obowiązkowych czy też realizacji Narodowego Celu Wskaźnikowego. </w:t>
      </w:r>
      <w:r w:rsidRPr="002D53A7">
        <w:rPr>
          <w:rFonts w:ascii="Arial Narrow" w:hAnsi="Arial Narrow" w:cs="Arial"/>
          <w:szCs w:val="24"/>
        </w:rPr>
        <w:t xml:space="preserve">Ofiarami strefy wyłudzeń </w:t>
      </w:r>
      <w:r w:rsidR="00CE15CD" w:rsidRPr="002D53A7">
        <w:rPr>
          <w:rFonts w:ascii="Arial Narrow" w:hAnsi="Arial Narrow" w:cs="Arial"/>
          <w:szCs w:val="24"/>
        </w:rPr>
        <w:t xml:space="preserve">są też </w:t>
      </w:r>
      <w:r w:rsidRPr="002D53A7">
        <w:rPr>
          <w:rFonts w:ascii="Arial Narrow" w:hAnsi="Arial Narrow" w:cs="Arial"/>
          <w:szCs w:val="24"/>
        </w:rPr>
        <w:t>uczciwe przedsiębiorstwa, które tracą rynek, gdyż nie są w stanie konkurować cenowo</w:t>
      </w:r>
      <w:r w:rsidR="008D07BB" w:rsidRPr="002D53A7">
        <w:rPr>
          <w:rFonts w:ascii="Arial Narrow" w:hAnsi="Arial Narrow" w:cs="Arial"/>
          <w:szCs w:val="24"/>
        </w:rPr>
        <w:t xml:space="preserve"> </w:t>
      </w:r>
      <w:r w:rsidRPr="002D53A7">
        <w:rPr>
          <w:rFonts w:ascii="Arial Narrow" w:hAnsi="Arial Narrow" w:cs="Arial"/>
          <w:szCs w:val="24"/>
        </w:rPr>
        <w:t>z podmiotami działającymi z naruszeniem prawa.</w:t>
      </w:r>
    </w:p>
    <w:p w:rsidR="00CE15CD" w:rsidRPr="002D53A7" w:rsidRDefault="00CE15CD" w:rsidP="00CE15CD">
      <w:pPr>
        <w:spacing w:line="240" w:lineRule="auto"/>
        <w:jc w:val="both"/>
        <w:rPr>
          <w:rFonts w:ascii="Arial Narrow" w:hAnsi="Arial Narrow" w:cs="Arial"/>
          <w:szCs w:val="24"/>
        </w:rPr>
      </w:pPr>
      <w:r w:rsidRPr="002D53A7">
        <w:rPr>
          <w:rFonts w:ascii="Arial Narrow" w:hAnsi="Arial Narrow" w:cs="Arial"/>
          <w:szCs w:val="24"/>
        </w:rPr>
        <w:t xml:space="preserve">Rok 2014 przyniósł znaczną intensyfikację działania organów ścigania i służb podatkowych, co </w:t>
      </w:r>
      <w:r w:rsidR="00B57F6A">
        <w:rPr>
          <w:rFonts w:ascii="Arial Narrow" w:hAnsi="Arial Narrow" w:cs="Arial"/>
          <w:szCs w:val="24"/>
        </w:rPr>
        <w:t>jest w </w:t>
      </w:r>
      <w:r w:rsidRPr="002D53A7">
        <w:rPr>
          <w:rFonts w:ascii="Arial Narrow" w:hAnsi="Arial Narrow" w:cs="Arial"/>
          <w:szCs w:val="24"/>
        </w:rPr>
        <w:t>znacznym stopniu wynikiem podpisania 30 stycznia 2014 porozumienia Ministra Spraw Wewnętrznych, Ministra Finansów oraz Prokuratora Generalnego o współpracy w zakresie zwalczania przestępczości gospodarczej. Nastąpiła intensyfikacja działań kontrolnych, realizowanych przez kontrolę skarbową oraz Służbę Celną we współpracy z Policją, Inspekcją Transportu Drogowego i innymi służbami</w:t>
      </w:r>
      <w:r w:rsidR="00B57F6A">
        <w:rPr>
          <w:rFonts w:ascii="Arial Narrow" w:hAnsi="Arial Narrow" w:cs="Arial"/>
          <w:szCs w:val="24"/>
        </w:rPr>
        <w:t>. Jednym z </w:t>
      </w:r>
      <w:r w:rsidR="00662C49" w:rsidRPr="002D53A7">
        <w:rPr>
          <w:rFonts w:ascii="Arial Narrow" w:hAnsi="Arial Narrow" w:cs="Arial"/>
          <w:szCs w:val="24"/>
        </w:rPr>
        <w:t xml:space="preserve">elementów nowej strategii były </w:t>
      </w:r>
      <w:r w:rsidRPr="002D53A7">
        <w:rPr>
          <w:rFonts w:ascii="Arial Narrow" w:hAnsi="Arial Narrow" w:cs="Arial"/>
          <w:szCs w:val="24"/>
        </w:rPr>
        <w:t xml:space="preserve">kompleksowe kontrole </w:t>
      </w:r>
      <w:r w:rsidR="00662C49" w:rsidRPr="002D53A7">
        <w:rPr>
          <w:rFonts w:ascii="Arial Narrow" w:hAnsi="Arial Narrow" w:cs="Arial"/>
          <w:szCs w:val="24"/>
        </w:rPr>
        <w:t xml:space="preserve">przeprowadzone </w:t>
      </w:r>
      <w:r w:rsidRPr="002D53A7">
        <w:rPr>
          <w:rFonts w:ascii="Arial Narrow" w:hAnsi="Arial Narrow" w:cs="Arial"/>
          <w:szCs w:val="24"/>
        </w:rPr>
        <w:t xml:space="preserve">w </w:t>
      </w:r>
      <w:r w:rsidR="00E66AB2" w:rsidRPr="002D53A7">
        <w:rPr>
          <w:rFonts w:ascii="Arial Narrow" w:hAnsi="Arial Narrow" w:cs="Arial"/>
          <w:szCs w:val="24"/>
        </w:rPr>
        <w:t xml:space="preserve"> </w:t>
      </w:r>
      <w:r w:rsidRPr="002D53A7">
        <w:rPr>
          <w:rFonts w:ascii="Arial Narrow" w:hAnsi="Arial Narrow" w:cs="Arial"/>
          <w:szCs w:val="24"/>
        </w:rPr>
        <w:t>obszarach przygranicznych</w:t>
      </w:r>
      <w:r w:rsidR="00B57F6A">
        <w:rPr>
          <w:rFonts w:ascii="Arial Narrow" w:hAnsi="Arial Narrow" w:cs="Tahoma"/>
          <w:szCs w:val="24"/>
        </w:rPr>
        <w:t xml:space="preserve"> (w </w:t>
      </w:r>
      <w:r w:rsidRPr="002D53A7">
        <w:rPr>
          <w:rFonts w:ascii="Arial Narrow" w:hAnsi="Arial Narrow" w:cs="Tahoma"/>
          <w:szCs w:val="24"/>
        </w:rPr>
        <w:t xml:space="preserve">czerwcu, wrześniu i grudniu). </w:t>
      </w:r>
      <w:r w:rsidRPr="002D53A7">
        <w:rPr>
          <w:rFonts w:ascii="Arial Narrow" w:hAnsi="Arial Narrow" w:cs="Arial"/>
          <w:szCs w:val="24"/>
        </w:rPr>
        <w:t xml:space="preserve">W wyniku </w:t>
      </w:r>
      <w:r w:rsidR="00662C49" w:rsidRPr="002D53A7">
        <w:rPr>
          <w:rFonts w:ascii="Arial Narrow" w:hAnsi="Arial Narrow" w:cs="Arial"/>
          <w:szCs w:val="24"/>
        </w:rPr>
        <w:t xml:space="preserve">tych </w:t>
      </w:r>
      <w:r w:rsidRPr="002D53A7">
        <w:rPr>
          <w:rFonts w:ascii="Arial Narrow" w:hAnsi="Arial Narrow" w:cs="Arial"/>
          <w:szCs w:val="24"/>
        </w:rPr>
        <w:t xml:space="preserve">akcji wykryto wyłudzenia podatkowe szacowane na kwotę 450 mln PLN,  wszczęto kontrole w 181 firmach, zabezpieczono majątek na kwotę ok. 100 mln. PLN. Jak wynika z informacji MF, w ciągu 3 kwartałów 2014 r. inspektorzy MF wykryli próby wyłudzenia podatków (VAT i akcyzy) w obrocie paliwami na prawie 2 mld PLN. </w:t>
      </w:r>
      <w:r w:rsidR="00662C49" w:rsidRPr="002D53A7">
        <w:rPr>
          <w:rFonts w:ascii="Arial Narrow" w:hAnsi="Arial Narrow" w:cs="Arial"/>
          <w:szCs w:val="24"/>
        </w:rPr>
        <w:t xml:space="preserve">W </w:t>
      </w:r>
      <w:r w:rsidRPr="002D53A7">
        <w:rPr>
          <w:rFonts w:ascii="Arial Narrow" w:hAnsi="Arial Narrow" w:cs="Arial"/>
          <w:szCs w:val="24"/>
        </w:rPr>
        <w:t>listopad</w:t>
      </w:r>
      <w:r w:rsidR="00662C49" w:rsidRPr="002D53A7">
        <w:rPr>
          <w:rFonts w:ascii="Arial Narrow" w:hAnsi="Arial Narrow" w:cs="Arial"/>
          <w:szCs w:val="24"/>
        </w:rPr>
        <w:t>zie</w:t>
      </w:r>
      <w:r w:rsidRPr="002D53A7">
        <w:rPr>
          <w:rFonts w:ascii="Arial Narrow" w:hAnsi="Arial Narrow" w:cs="Arial"/>
          <w:szCs w:val="24"/>
        </w:rPr>
        <w:t xml:space="preserve"> 2014 r. opublikowany został „List ostrzegawczy” zwracający uwagę na zagrożenia występujące w obrocie paliwami ciekłymi. </w:t>
      </w:r>
    </w:p>
    <w:p w:rsidR="00CE15CD" w:rsidRPr="002D53A7" w:rsidRDefault="00CE15CD" w:rsidP="00CE15CD">
      <w:pPr>
        <w:spacing w:line="240" w:lineRule="auto"/>
        <w:jc w:val="both"/>
        <w:rPr>
          <w:rFonts w:ascii="Arial Narrow" w:hAnsi="Arial Narrow" w:cs="Arial"/>
          <w:szCs w:val="24"/>
          <w:highlight w:val="yellow"/>
        </w:rPr>
      </w:pPr>
      <w:r w:rsidRPr="002D53A7">
        <w:rPr>
          <w:rFonts w:ascii="Arial Narrow" w:hAnsi="Arial Narrow" w:cs="Arial"/>
          <w:szCs w:val="24"/>
        </w:rPr>
        <w:t xml:space="preserve">W ramach działań, prowadzonych przez Ministerstwo Gospodarki, udało się doprowadzić (w ramach ustawy </w:t>
      </w:r>
      <w:r w:rsidRPr="002D53A7">
        <w:rPr>
          <w:rFonts w:ascii="Arial Narrow" w:hAnsi="Arial Narrow"/>
          <w:bCs/>
          <w:szCs w:val="24"/>
        </w:rPr>
        <w:t>z dnia 30 maja 2014 r. o zmianie ustawy o zapasach ropy naftowej, produktów naftowych i gazu ziemnego oraz zasadach post</w:t>
      </w:r>
      <w:r w:rsidRPr="002D53A7">
        <w:rPr>
          <w:rFonts w:ascii="Arial Narrow" w:hAnsi="Arial Narrow" w:cs="TimesNewRoman,Bold"/>
          <w:bCs/>
          <w:szCs w:val="24"/>
        </w:rPr>
        <w:t>ę</w:t>
      </w:r>
      <w:r w:rsidRPr="002D53A7">
        <w:rPr>
          <w:rFonts w:ascii="Arial Narrow" w:hAnsi="Arial Narrow"/>
          <w:bCs/>
          <w:szCs w:val="24"/>
        </w:rPr>
        <w:t>powania w sytuacjach zagro</w:t>
      </w:r>
      <w:r w:rsidRPr="002D53A7">
        <w:rPr>
          <w:rFonts w:ascii="Arial Narrow" w:hAnsi="Arial Narrow" w:cs="TimesNewRoman,Bold"/>
          <w:bCs/>
          <w:szCs w:val="24"/>
        </w:rPr>
        <w:t>ż</w:t>
      </w:r>
      <w:r w:rsidRPr="002D53A7">
        <w:rPr>
          <w:rFonts w:ascii="Arial Narrow" w:hAnsi="Arial Narrow"/>
          <w:bCs/>
          <w:szCs w:val="24"/>
        </w:rPr>
        <w:t>enia bezpiecze</w:t>
      </w:r>
      <w:r w:rsidRPr="002D53A7">
        <w:rPr>
          <w:rFonts w:ascii="Arial Narrow" w:hAnsi="Arial Narrow" w:cs="TimesNewRoman,Bold"/>
          <w:bCs/>
          <w:szCs w:val="24"/>
        </w:rPr>
        <w:t>ń</w:t>
      </w:r>
      <w:r w:rsidRPr="002D53A7">
        <w:rPr>
          <w:rFonts w:ascii="Arial Narrow" w:hAnsi="Arial Narrow"/>
          <w:bCs/>
          <w:szCs w:val="24"/>
        </w:rPr>
        <w:t>stwa paliwowego pa</w:t>
      </w:r>
      <w:r w:rsidRPr="002D53A7">
        <w:rPr>
          <w:rFonts w:ascii="Arial Narrow" w:hAnsi="Arial Narrow" w:cs="TimesNewRoman,Bold"/>
          <w:bCs/>
          <w:szCs w:val="24"/>
        </w:rPr>
        <w:t>ń</w:t>
      </w:r>
      <w:r w:rsidR="00B57F6A">
        <w:rPr>
          <w:rFonts w:ascii="Arial Narrow" w:hAnsi="Arial Narrow"/>
          <w:bCs/>
          <w:szCs w:val="24"/>
        </w:rPr>
        <w:t>stwa i </w:t>
      </w:r>
      <w:r w:rsidRPr="002D53A7">
        <w:rPr>
          <w:rFonts w:ascii="Arial Narrow" w:hAnsi="Arial Narrow"/>
          <w:bCs/>
          <w:szCs w:val="24"/>
        </w:rPr>
        <w:t>zak</w:t>
      </w:r>
      <w:r w:rsidRPr="002D53A7">
        <w:rPr>
          <w:rFonts w:ascii="Arial Narrow" w:hAnsi="Arial Narrow" w:cs="TimesNewRoman,Bold"/>
          <w:bCs/>
          <w:szCs w:val="24"/>
        </w:rPr>
        <w:t>ł</w:t>
      </w:r>
      <w:r w:rsidRPr="002D53A7">
        <w:rPr>
          <w:rFonts w:ascii="Arial Narrow" w:hAnsi="Arial Narrow"/>
          <w:bCs/>
          <w:szCs w:val="24"/>
        </w:rPr>
        <w:t>óce</w:t>
      </w:r>
      <w:r w:rsidRPr="002D53A7">
        <w:rPr>
          <w:rFonts w:ascii="Arial Narrow" w:hAnsi="Arial Narrow" w:cs="TimesNewRoman,Bold"/>
          <w:bCs/>
          <w:szCs w:val="24"/>
        </w:rPr>
        <w:t xml:space="preserve">ń </w:t>
      </w:r>
      <w:r w:rsidRPr="002D53A7">
        <w:rPr>
          <w:rFonts w:ascii="Arial Narrow" w:hAnsi="Arial Narrow"/>
          <w:bCs/>
          <w:szCs w:val="24"/>
        </w:rPr>
        <w:t>na rynku naftowym oraz niektórych innych ustaw</w:t>
      </w:r>
      <w:r w:rsidRPr="002D53A7">
        <w:rPr>
          <w:rFonts w:ascii="Arial Narrow" w:hAnsi="Arial Narrow" w:cs="Arial"/>
          <w:szCs w:val="24"/>
        </w:rPr>
        <w:t>) do wprowadzenia kaucji dla podmiotów, posiadających koncesje na obrót paliwami z zagranicą oraz koncesji na wytwarzanie paliw ciekłych, a także zmian w systemie zapasów obowiązkowych, mogących pomóc w zwalczaniu przestępczości gospodarczej. Ponadto w wyniku działań Urzędu Dozoru Technicznego z około 15% do około 4% spadła liczba stacji, działających mimo braku modernizacji zbiorników.</w:t>
      </w:r>
    </w:p>
    <w:p w:rsidR="009F64F2" w:rsidRPr="002D53A7" w:rsidRDefault="009F64F2" w:rsidP="008975AE">
      <w:pPr>
        <w:spacing w:line="240" w:lineRule="auto"/>
        <w:jc w:val="both"/>
        <w:rPr>
          <w:rFonts w:ascii="Arial Narrow" w:hAnsi="Arial Narrow" w:cs="Arial"/>
          <w:b/>
          <w:szCs w:val="24"/>
        </w:rPr>
      </w:pPr>
    </w:p>
    <w:p w:rsidR="009F64F2" w:rsidRDefault="00BF3D91" w:rsidP="008975AE">
      <w:pPr>
        <w:spacing w:line="240" w:lineRule="auto"/>
        <w:jc w:val="both"/>
        <w:rPr>
          <w:rFonts w:ascii="Arial Narrow" w:hAnsi="Arial Narrow" w:cs="Arial"/>
          <w:b/>
          <w:szCs w:val="24"/>
        </w:rPr>
      </w:pPr>
      <w:r w:rsidRPr="002D53A7">
        <w:rPr>
          <w:rFonts w:ascii="Arial Narrow" w:hAnsi="Arial Narrow" w:cs="Arial"/>
          <w:b/>
          <w:szCs w:val="24"/>
        </w:rPr>
        <w:t xml:space="preserve">Nasze stanowisko: </w:t>
      </w:r>
    </w:p>
    <w:p w:rsidR="009C5142" w:rsidRPr="002D53A7" w:rsidRDefault="009C5142" w:rsidP="008975AE">
      <w:pPr>
        <w:spacing w:line="240" w:lineRule="auto"/>
        <w:jc w:val="both"/>
        <w:rPr>
          <w:rFonts w:ascii="Arial Narrow" w:hAnsi="Arial Narrow" w:cs="Arial"/>
          <w:b/>
          <w:szCs w:val="24"/>
        </w:rPr>
      </w:pPr>
    </w:p>
    <w:p w:rsidR="0080679C" w:rsidRPr="002D53A7" w:rsidRDefault="00BF3D91" w:rsidP="00E66AB2">
      <w:pPr>
        <w:tabs>
          <w:tab w:val="num" w:pos="0"/>
        </w:tabs>
        <w:spacing w:line="240" w:lineRule="auto"/>
        <w:jc w:val="both"/>
        <w:rPr>
          <w:rStyle w:val="temat2"/>
          <w:rFonts w:ascii="Arial Narrow" w:hAnsi="Arial Narrow" w:cs="Arial"/>
          <w:szCs w:val="24"/>
          <w:highlight w:val="yellow"/>
        </w:rPr>
      </w:pPr>
      <w:r w:rsidRPr="002D53A7">
        <w:rPr>
          <w:rFonts w:ascii="Arial Narrow" w:hAnsi="Arial Narrow" w:cs="Arial"/>
          <w:szCs w:val="24"/>
        </w:rPr>
        <w:t>W ocenie branży</w:t>
      </w:r>
      <w:r w:rsidR="00873DF7" w:rsidRPr="002D53A7">
        <w:rPr>
          <w:rFonts w:ascii="Arial Narrow" w:hAnsi="Arial Narrow" w:cs="Arial"/>
          <w:szCs w:val="24"/>
        </w:rPr>
        <w:t xml:space="preserve"> konieczne są dalsze zmiany prawa</w:t>
      </w:r>
      <w:r w:rsidR="001F64DC">
        <w:rPr>
          <w:rFonts w:ascii="Arial Narrow" w:hAnsi="Arial Narrow" w:cs="Arial"/>
          <w:szCs w:val="24"/>
        </w:rPr>
        <w:t>, gdyż niektóre z zastosowanych</w:t>
      </w:r>
      <w:r w:rsidR="00DE7E31" w:rsidRPr="002D53A7">
        <w:rPr>
          <w:rFonts w:ascii="Arial Narrow" w:hAnsi="Arial Narrow" w:cs="Arial"/>
          <w:szCs w:val="24"/>
        </w:rPr>
        <w:t xml:space="preserve"> </w:t>
      </w:r>
      <w:r w:rsidR="00873DF7" w:rsidRPr="002D53A7">
        <w:rPr>
          <w:rFonts w:ascii="Arial Narrow" w:hAnsi="Arial Narrow" w:cs="Arial"/>
          <w:szCs w:val="24"/>
        </w:rPr>
        <w:t xml:space="preserve">w ostatnim czasie rozwiązań – na przykład wprowadzenie odpowiedzialności solidarnej – mają ograniczony skutek i są </w:t>
      </w:r>
      <w:r w:rsidRPr="002D53A7">
        <w:rPr>
          <w:rStyle w:val="temat2"/>
          <w:rFonts w:ascii="Arial Narrow" w:hAnsi="Arial Narrow" w:cs="Arial"/>
          <w:szCs w:val="24"/>
        </w:rPr>
        <w:t xml:space="preserve">niewystarczające do </w:t>
      </w:r>
      <w:r w:rsidR="00873DF7" w:rsidRPr="002D53A7">
        <w:rPr>
          <w:rStyle w:val="temat2"/>
          <w:rFonts w:ascii="Arial Narrow" w:hAnsi="Arial Narrow" w:cs="Arial"/>
          <w:szCs w:val="24"/>
        </w:rPr>
        <w:t>wyeliminowania</w:t>
      </w:r>
      <w:r w:rsidRPr="002D53A7">
        <w:rPr>
          <w:rStyle w:val="temat2"/>
          <w:rFonts w:ascii="Arial Narrow" w:hAnsi="Arial Narrow" w:cs="Arial"/>
          <w:szCs w:val="24"/>
        </w:rPr>
        <w:t xml:space="preserve"> przestępczości w</w:t>
      </w:r>
      <w:r w:rsidR="00E66AB2" w:rsidRPr="002D53A7">
        <w:rPr>
          <w:rStyle w:val="temat2"/>
          <w:rFonts w:ascii="Arial Narrow" w:hAnsi="Arial Narrow" w:cs="Arial"/>
          <w:szCs w:val="24"/>
        </w:rPr>
        <w:t> </w:t>
      </w:r>
      <w:r w:rsidRPr="002D53A7">
        <w:rPr>
          <w:rStyle w:val="temat2"/>
          <w:rFonts w:ascii="Arial Narrow" w:hAnsi="Arial Narrow" w:cs="Arial"/>
          <w:szCs w:val="24"/>
        </w:rPr>
        <w:t xml:space="preserve">obrocie paliwami. </w:t>
      </w:r>
      <w:r w:rsidR="002C5552" w:rsidRPr="002D53A7">
        <w:rPr>
          <w:rFonts w:ascii="Arial Narrow" w:hAnsi="Arial Narrow" w:cs="Arial"/>
          <w:szCs w:val="24"/>
        </w:rPr>
        <w:t xml:space="preserve">Wnioskujemy o rozważenie nowych rozwiązań prawnych, dotyczących </w:t>
      </w:r>
      <w:r w:rsidR="002C5552" w:rsidRPr="002D53A7">
        <w:rPr>
          <w:rStyle w:val="temat2"/>
          <w:rFonts w:ascii="Arial Narrow" w:hAnsi="Arial Narrow" w:cs="Arial"/>
          <w:i/>
          <w:szCs w:val="24"/>
        </w:rPr>
        <w:t>podatku od towarów i usług</w:t>
      </w:r>
      <w:r w:rsidR="002C5552" w:rsidRPr="002D53A7">
        <w:rPr>
          <w:rStyle w:val="temat2"/>
          <w:rFonts w:ascii="Arial Narrow" w:hAnsi="Arial Narrow" w:cs="Arial"/>
          <w:szCs w:val="24"/>
        </w:rPr>
        <w:t xml:space="preserve">, z wykorzystaniem doświadczeń innych państw </w:t>
      </w:r>
      <w:r w:rsidR="00A9383F">
        <w:rPr>
          <w:rStyle w:val="temat2"/>
          <w:rFonts w:ascii="Arial Narrow" w:hAnsi="Arial Narrow" w:cs="Arial"/>
          <w:szCs w:val="24"/>
        </w:rPr>
        <w:t xml:space="preserve">na przykład wprowadzenie modelu </w:t>
      </w:r>
      <w:r w:rsidR="00A9383F">
        <w:rPr>
          <w:rFonts w:ascii="Arial Narrow" w:hAnsi="Arial Narrow" w:cs="Arial"/>
          <w:szCs w:val="24"/>
        </w:rPr>
        <w:t>podzielonej płatności (</w:t>
      </w:r>
      <w:proofErr w:type="spellStart"/>
      <w:r w:rsidR="00A9383F">
        <w:rPr>
          <w:rFonts w:ascii="Arial Narrow" w:hAnsi="Arial Narrow" w:cs="Arial"/>
          <w:szCs w:val="24"/>
        </w:rPr>
        <w:t>split</w:t>
      </w:r>
      <w:proofErr w:type="spellEnd"/>
      <w:r w:rsidR="00A9383F">
        <w:rPr>
          <w:rFonts w:ascii="Arial Narrow" w:hAnsi="Arial Narrow" w:cs="Arial"/>
          <w:szCs w:val="24"/>
        </w:rPr>
        <w:t xml:space="preserve">- </w:t>
      </w:r>
      <w:proofErr w:type="spellStart"/>
      <w:r w:rsidR="00A9383F">
        <w:rPr>
          <w:rFonts w:ascii="Arial Narrow" w:hAnsi="Arial Narrow" w:cs="Arial"/>
          <w:szCs w:val="24"/>
        </w:rPr>
        <w:t>payment</w:t>
      </w:r>
      <w:proofErr w:type="spellEnd"/>
      <w:r w:rsidR="00A9383F">
        <w:rPr>
          <w:rFonts w:ascii="Arial Narrow" w:hAnsi="Arial Narrow" w:cs="Arial"/>
          <w:szCs w:val="24"/>
        </w:rPr>
        <w:t>)</w:t>
      </w:r>
      <w:r w:rsidR="002C5552" w:rsidRPr="002D53A7">
        <w:rPr>
          <w:rFonts w:ascii="Arial Narrow" w:hAnsi="Arial Narrow" w:cs="Arial"/>
          <w:szCs w:val="24"/>
        </w:rPr>
        <w:t xml:space="preserve">. </w:t>
      </w:r>
      <w:r w:rsidR="00A87ADE" w:rsidRPr="002D53A7">
        <w:rPr>
          <w:rFonts w:ascii="Arial Narrow" w:hAnsi="Arial Narrow"/>
        </w:rPr>
        <w:t>Nie powinno mieć miejsca absolutne zwolnienie z</w:t>
      </w:r>
      <w:r w:rsidR="00E66AB2" w:rsidRPr="002D53A7">
        <w:rPr>
          <w:rFonts w:ascii="Arial Narrow" w:hAnsi="Arial Narrow"/>
        </w:rPr>
        <w:t> </w:t>
      </w:r>
      <w:r w:rsidR="00A87ADE" w:rsidRPr="002D53A7">
        <w:rPr>
          <w:rFonts w:ascii="Arial Narrow" w:hAnsi="Arial Narrow"/>
        </w:rPr>
        <w:t xml:space="preserve">odpowiedzialności solidarnej nawet przy złożeniu przez dany podmiot maksymalnej wysokości kaucji, a ochrona powinna być proporcjonalna do dostaw na rzecz danego nabywcy.  </w:t>
      </w:r>
      <w:r w:rsidR="002C5552" w:rsidRPr="002D53A7">
        <w:rPr>
          <w:rFonts w:ascii="Arial Narrow" w:hAnsi="Arial Narrow" w:cs="Arial"/>
          <w:szCs w:val="24"/>
        </w:rPr>
        <w:t xml:space="preserve">Uregulowania wymaga </w:t>
      </w:r>
      <w:r w:rsidR="002C5552" w:rsidRPr="002D53A7">
        <w:rPr>
          <w:rFonts w:ascii="Arial Narrow" w:hAnsi="Arial Narrow" w:cs="Arial"/>
          <w:bCs/>
          <w:szCs w:val="24"/>
        </w:rPr>
        <w:t>odpowiedzialnoś</w:t>
      </w:r>
      <w:r w:rsidR="00662C49" w:rsidRPr="002D53A7">
        <w:rPr>
          <w:rFonts w:ascii="Arial Narrow" w:hAnsi="Arial Narrow" w:cs="Arial"/>
          <w:bCs/>
          <w:szCs w:val="24"/>
        </w:rPr>
        <w:t>ć</w:t>
      </w:r>
      <w:r w:rsidR="002C5552" w:rsidRPr="002D53A7">
        <w:rPr>
          <w:rFonts w:ascii="Arial Narrow" w:hAnsi="Arial Narrow" w:cs="Arial"/>
          <w:bCs/>
          <w:szCs w:val="24"/>
        </w:rPr>
        <w:t xml:space="preserve"> osób fizycznych za obrót paliwami bez koncesji. Postulujemy wykluczenie możliwości korzystania z wirtualnych biur przy obrocie towarami wrażliwymi, </w:t>
      </w:r>
      <w:r w:rsidR="002C5552" w:rsidRPr="002D53A7">
        <w:rPr>
          <w:rFonts w:ascii="Arial Narrow" w:hAnsi="Arial Narrow" w:cs="Arial"/>
          <w:bCs/>
          <w:szCs w:val="24"/>
        </w:rPr>
        <w:lastRenderedPageBreak/>
        <w:t>a</w:t>
      </w:r>
      <w:r w:rsidR="00446180">
        <w:rPr>
          <w:rFonts w:ascii="Arial Narrow" w:hAnsi="Arial Narrow" w:cs="Arial"/>
          <w:bCs/>
          <w:szCs w:val="24"/>
        </w:rPr>
        <w:t> </w:t>
      </w:r>
      <w:r w:rsidR="002C5552" w:rsidRPr="002D53A7">
        <w:rPr>
          <w:rFonts w:ascii="Arial Narrow" w:hAnsi="Arial Narrow" w:cs="Arial"/>
          <w:bCs/>
          <w:szCs w:val="24"/>
        </w:rPr>
        <w:t xml:space="preserve">także wprowadzenie specjalnych procedur przetargowych przy zamówieniach publicznych na </w:t>
      </w:r>
      <w:r w:rsidR="00662C49" w:rsidRPr="002D53A7">
        <w:rPr>
          <w:rFonts w:ascii="Arial Narrow" w:hAnsi="Arial Narrow" w:cs="Arial"/>
          <w:bCs/>
          <w:szCs w:val="24"/>
        </w:rPr>
        <w:t xml:space="preserve">zakup </w:t>
      </w:r>
      <w:r w:rsidR="002C5552" w:rsidRPr="002D53A7">
        <w:rPr>
          <w:rFonts w:ascii="Arial Narrow" w:hAnsi="Arial Narrow" w:cs="Arial"/>
          <w:bCs/>
          <w:szCs w:val="24"/>
        </w:rPr>
        <w:t>paliwa.</w:t>
      </w:r>
    </w:p>
    <w:p w:rsidR="00FD41B4" w:rsidRPr="002D53A7" w:rsidRDefault="001A54D9" w:rsidP="001A54D9">
      <w:pPr>
        <w:tabs>
          <w:tab w:val="num" w:pos="0"/>
        </w:tabs>
        <w:spacing w:line="240" w:lineRule="auto"/>
        <w:jc w:val="both"/>
        <w:rPr>
          <w:rStyle w:val="Pogrubienie"/>
          <w:rFonts w:ascii="Arial Narrow" w:hAnsi="Arial Narrow"/>
          <w:b w:val="0"/>
          <w:szCs w:val="24"/>
        </w:rPr>
      </w:pPr>
      <w:r w:rsidRPr="002D53A7">
        <w:rPr>
          <w:rFonts w:ascii="Arial Narrow" w:hAnsi="Arial Narrow" w:cs="Arial"/>
          <w:szCs w:val="24"/>
        </w:rPr>
        <w:t>Postulujemy stworzenie „</w:t>
      </w:r>
      <w:r w:rsidR="00FD41B4" w:rsidRPr="002D53A7">
        <w:rPr>
          <w:rFonts w:ascii="Arial Narrow" w:hAnsi="Arial Narrow" w:cs="Arial"/>
          <w:szCs w:val="24"/>
        </w:rPr>
        <w:t>platformy paliwowej</w:t>
      </w:r>
      <w:r w:rsidRPr="002D53A7">
        <w:rPr>
          <w:rFonts w:ascii="Arial Narrow" w:hAnsi="Arial Narrow" w:cs="Arial"/>
          <w:szCs w:val="24"/>
        </w:rPr>
        <w:t>”</w:t>
      </w:r>
      <w:r w:rsidR="00FD41B4" w:rsidRPr="002D53A7">
        <w:rPr>
          <w:rFonts w:ascii="Arial Narrow" w:hAnsi="Arial Narrow" w:cs="Arial"/>
          <w:szCs w:val="24"/>
        </w:rPr>
        <w:t xml:space="preserve"> – </w:t>
      </w:r>
      <w:r w:rsidR="00EB30E9" w:rsidRPr="002D53A7">
        <w:rPr>
          <w:rFonts w:ascii="Arial Narrow" w:hAnsi="Arial Narrow" w:cs="Arial"/>
          <w:szCs w:val="24"/>
        </w:rPr>
        <w:t xml:space="preserve">rejestru przedsiębiorców branży paliwowej, </w:t>
      </w:r>
      <w:r w:rsidR="00FD41B4" w:rsidRPr="002D53A7">
        <w:rPr>
          <w:rFonts w:ascii="Arial Narrow" w:hAnsi="Arial Narrow" w:cs="Arial"/>
          <w:szCs w:val="24"/>
        </w:rPr>
        <w:t>czyli elektronicznej bazy danych, zawierającej informacje o podmiotach</w:t>
      </w:r>
      <w:r w:rsidR="00690B1B" w:rsidRPr="002D53A7">
        <w:rPr>
          <w:rFonts w:ascii="Arial Narrow" w:hAnsi="Arial Narrow" w:cs="Arial"/>
          <w:szCs w:val="24"/>
        </w:rPr>
        <w:t>,</w:t>
      </w:r>
      <w:r w:rsidR="00FD41B4" w:rsidRPr="002D53A7">
        <w:rPr>
          <w:rFonts w:ascii="Arial Narrow" w:hAnsi="Arial Narrow" w:cs="Arial"/>
          <w:szCs w:val="24"/>
        </w:rPr>
        <w:t xml:space="preserve"> działa</w:t>
      </w:r>
      <w:r w:rsidR="00B57F6A">
        <w:rPr>
          <w:rFonts w:ascii="Arial Narrow" w:hAnsi="Arial Narrow" w:cs="Arial"/>
          <w:szCs w:val="24"/>
        </w:rPr>
        <w:t>jących w produkcji, logistyce i </w:t>
      </w:r>
      <w:r w:rsidR="00FD41B4" w:rsidRPr="002D53A7">
        <w:rPr>
          <w:rFonts w:ascii="Arial Narrow" w:hAnsi="Arial Narrow" w:cs="Arial"/>
          <w:szCs w:val="24"/>
        </w:rPr>
        <w:t>obrocie paliwami oraz o realizacji przez nie wszystkich związanych z tym obowiązków.</w:t>
      </w:r>
      <w:r w:rsidRPr="002D53A7">
        <w:rPr>
          <w:rFonts w:ascii="Arial Narrow" w:hAnsi="Arial Narrow" w:cs="Arial"/>
          <w:szCs w:val="24"/>
        </w:rPr>
        <w:t xml:space="preserve"> </w:t>
      </w:r>
      <w:r w:rsidR="00B57F6A">
        <w:rPr>
          <w:rStyle w:val="Pogrubienie"/>
          <w:rFonts w:ascii="Arial Narrow" w:hAnsi="Arial Narrow"/>
          <w:b w:val="0"/>
          <w:szCs w:val="24"/>
        </w:rPr>
        <w:t>Obecnie rejestry i </w:t>
      </w:r>
      <w:r w:rsidR="00FD41B4" w:rsidRPr="002D53A7">
        <w:rPr>
          <w:rStyle w:val="Pogrubienie"/>
          <w:rFonts w:ascii="Arial Narrow" w:hAnsi="Arial Narrow"/>
          <w:b w:val="0"/>
          <w:szCs w:val="24"/>
        </w:rPr>
        <w:t>zbiory danych  prowadzone przez różne instytucje (Ministerstwo Finansów, Agencja Rezerw Materiałowych, Urząd Dozoru Technicznego, Urząd Regulacji Energetyki, Inspekcja Handlowa, Państwowa Inspekcja Pracy, nadzór budowlany etc.) nie są ze sobą powiązane, ani też nie są kompatybilne. Same dane poszczególnych instytucji nadzoru odnośnie do liczby stacji paliw zawierają znaczne rozbieżności. Podczas prac nad nowelizacją ustawy o systemie monitorowania i</w:t>
      </w:r>
      <w:r w:rsidR="00E66AB2" w:rsidRPr="002D53A7">
        <w:rPr>
          <w:rStyle w:val="Pogrubienie"/>
          <w:rFonts w:ascii="Arial Narrow" w:hAnsi="Arial Narrow"/>
          <w:b w:val="0"/>
          <w:szCs w:val="24"/>
        </w:rPr>
        <w:t> </w:t>
      </w:r>
      <w:r w:rsidR="00FD41B4" w:rsidRPr="002D53A7">
        <w:rPr>
          <w:rStyle w:val="Pogrubienie"/>
          <w:rFonts w:ascii="Arial Narrow" w:hAnsi="Arial Narrow"/>
          <w:b w:val="0"/>
          <w:szCs w:val="24"/>
        </w:rPr>
        <w:t xml:space="preserve">kontrolowania jakości paliw w 2014 roku POPiHN proponowała wprowadzenie obowiązku </w:t>
      </w:r>
      <w:proofErr w:type="spellStart"/>
      <w:r w:rsidR="00FD41B4" w:rsidRPr="002D53A7">
        <w:rPr>
          <w:rStyle w:val="Pogrubienie"/>
          <w:rFonts w:ascii="Arial Narrow" w:hAnsi="Arial Narrow"/>
          <w:b w:val="0"/>
          <w:szCs w:val="24"/>
        </w:rPr>
        <w:t>samorejestracji</w:t>
      </w:r>
      <w:proofErr w:type="spellEnd"/>
      <w:r w:rsidR="00FD41B4" w:rsidRPr="002D53A7">
        <w:rPr>
          <w:rStyle w:val="Pogrubienie"/>
          <w:rFonts w:ascii="Arial Narrow" w:hAnsi="Arial Narrow"/>
          <w:b w:val="0"/>
          <w:szCs w:val="24"/>
        </w:rPr>
        <w:t xml:space="preserve"> podmiotó</w:t>
      </w:r>
      <w:r w:rsidR="00B57F6A">
        <w:rPr>
          <w:rStyle w:val="Pogrubienie"/>
          <w:rFonts w:ascii="Arial Narrow" w:hAnsi="Arial Narrow"/>
          <w:b w:val="0"/>
          <w:szCs w:val="24"/>
        </w:rPr>
        <w:t>w, prowadzących stacje paliw, w </w:t>
      </w:r>
      <w:r w:rsidR="00FD41B4" w:rsidRPr="002D53A7">
        <w:rPr>
          <w:rStyle w:val="Pogrubienie"/>
          <w:rFonts w:ascii="Arial Narrow" w:hAnsi="Arial Narrow"/>
          <w:b w:val="0"/>
          <w:szCs w:val="24"/>
        </w:rPr>
        <w:t>systemie, który miał zostać usytuowany przy Inspekcji Handlowej. Niestety, nasza propozycja nie spotkała się wówczas ze zrozumieniem.</w:t>
      </w:r>
    </w:p>
    <w:p w:rsidR="00FD41B4" w:rsidRPr="002D53A7" w:rsidRDefault="00FD41B4" w:rsidP="00446180">
      <w:pPr>
        <w:tabs>
          <w:tab w:val="num" w:pos="1440"/>
        </w:tabs>
        <w:spacing w:line="240" w:lineRule="auto"/>
        <w:jc w:val="both"/>
        <w:rPr>
          <w:rStyle w:val="Pogrubienie"/>
          <w:rFonts w:ascii="Arial Narrow" w:hAnsi="Arial Narrow"/>
          <w:b w:val="0"/>
          <w:szCs w:val="24"/>
        </w:rPr>
      </w:pPr>
      <w:r w:rsidRPr="002D53A7">
        <w:rPr>
          <w:rStyle w:val="Pogrubienie"/>
          <w:rFonts w:ascii="Arial Narrow" w:hAnsi="Arial Narrow"/>
          <w:b w:val="0"/>
          <w:szCs w:val="24"/>
        </w:rPr>
        <w:t>Proponowane przez nas rozwiązanie</w:t>
      </w:r>
      <w:r w:rsidR="001A54D9" w:rsidRPr="002D53A7">
        <w:rPr>
          <w:rStyle w:val="Pogrubienie"/>
          <w:rFonts w:ascii="Arial Narrow" w:hAnsi="Arial Narrow"/>
          <w:b w:val="0"/>
          <w:szCs w:val="24"/>
        </w:rPr>
        <w:t xml:space="preserve"> </w:t>
      </w:r>
      <w:r w:rsidRPr="002D53A7">
        <w:rPr>
          <w:rStyle w:val="Pogrubienie"/>
          <w:rFonts w:ascii="Arial Narrow" w:hAnsi="Arial Narrow"/>
          <w:b w:val="0"/>
          <w:szCs w:val="24"/>
        </w:rPr>
        <w:t>służyłoby zarówno służbom kontro</w:t>
      </w:r>
      <w:r w:rsidR="00B57F6A">
        <w:rPr>
          <w:rStyle w:val="Pogrubienie"/>
          <w:rFonts w:ascii="Arial Narrow" w:hAnsi="Arial Narrow"/>
          <w:b w:val="0"/>
          <w:szCs w:val="24"/>
        </w:rPr>
        <w:t>lnym, jak też przedsiębiorcom i </w:t>
      </w:r>
      <w:r w:rsidRPr="002D53A7">
        <w:rPr>
          <w:rStyle w:val="Pogrubienie"/>
          <w:rFonts w:ascii="Arial Narrow" w:hAnsi="Arial Narrow"/>
          <w:b w:val="0"/>
          <w:szCs w:val="24"/>
        </w:rPr>
        <w:t>konsumentom. Mogłoby ono mieć konstrukcję trzystopniową:</w:t>
      </w:r>
    </w:p>
    <w:p w:rsidR="00FD41B4" w:rsidRPr="002D53A7" w:rsidRDefault="00FD41B4" w:rsidP="00446180">
      <w:pPr>
        <w:pStyle w:val="Akapitzlist"/>
        <w:numPr>
          <w:ilvl w:val="0"/>
          <w:numId w:val="9"/>
        </w:numPr>
        <w:jc w:val="both"/>
        <w:rPr>
          <w:rFonts w:ascii="Arial Narrow" w:hAnsi="Arial Narrow"/>
          <w:sz w:val="24"/>
          <w:szCs w:val="24"/>
        </w:rPr>
      </w:pPr>
      <w:r w:rsidRPr="002D53A7">
        <w:rPr>
          <w:rFonts w:ascii="Arial Narrow" w:eastAsia="+mn-ea" w:hAnsi="Arial Narrow" w:cs="+mn-cs"/>
          <w:kern w:val="24"/>
          <w:sz w:val="24"/>
          <w:szCs w:val="24"/>
        </w:rPr>
        <w:t>dostęp dla służb ścigania, podległych MF i MSW (dane wrażliwe, np. dotyczące rozliczeń podatkowych);</w:t>
      </w:r>
    </w:p>
    <w:p w:rsidR="00FD41B4" w:rsidRPr="002D53A7" w:rsidRDefault="00FD41B4" w:rsidP="00446180">
      <w:pPr>
        <w:pStyle w:val="Akapitzlist"/>
        <w:numPr>
          <w:ilvl w:val="0"/>
          <w:numId w:val="9"/>
        </w:numPr>
        <w:jc w:val="both"/>
        <w:rPr>
          <w:rFonts w:ascii="Arial Narrow" w:hAnsi="Arial Narrow"/>
          <w:sz w:val="24"/>
          <w:szCs w:val="24"/>
        </w:rPr>
      </w:pPr>
      <w:r w:rsidRPr="002D53A7">
        <w:rPr>
          <w:rFonts w:ascii="Arial Narrow" w:eastAsia="+mn-ea" w:hAnsi="Arial Narrow" w:cs="+mn-cs"/>
          <w:kern w:val="24"/>
          <w:sz w:val="24"/>
          <w:szCs w:val="24"/>
        </w:rPr>
        <w:t>dostęp dla innych organów kontrolnych (URE, ARM, UDT, IH, nadzór budowlany, PIP, Straż Pożarna etc.);</w:t>
      </w:r>
    </w:p>
    <w:p w:rsidR="00FD41B4" w:rsidRPr="002D53A7" w:rsidRDefault="00FD41B4" w:rsidP="00446180">
      <w:pPr>
        <w:pStyle w:val="Akapitzlist"/>
        <w:numPr>
          <w:ilvl w:val="0"/>
          <w:numId w:val="9"/>
        </w:numPr>
        <w:jc w:val="both"/>
        <w:rPr>
          <w:rFonts w:ascii="Arial Narrow" w:hAnsi="Arial Narrow"/>
          <w:sz w:val="24"/>
          <w:szCs w:val="24"/>
        </w:rPr>
      </w:pPr>
      <w:r w:rsidRPr="002D53A7">
        <w:rPr>
          <w:rFonts w:ascii="Arial Narrow" w:eastAsia="+mn-ea" w:hAnsi="Arial Narrow" w:cs="+mn-cs"/>
          <w:kern w:val="24"/>
          <w:sz w:val="24"/>
          <w:szCs w:val="24"/>
        </w:rPr>
        <w:t>otwarty dostęp dla przedsiębiorców i klientów (ogólnodostępne dane dotyczące np. posiadania koncesji na obrót paliwami ciekłymi przez właściciela stacji, dopuszczenie urządzeń stacji przez UDT</w:t>
      </w:r>
      <w:r w:rsidR="00A77A81" w:rsidRPr="002D53A7">
        <w:rPr>
          <w:rFonts w:ascii="Arial Narrow" w:eastAsia="+mn-ea" w:hAnsi="Arial Narrow" w:cs="+mn-cs"/>
          <w:kern w:val="24"/>
          <w:sz w:val="24"/>
          <w:szCs w:val="24"/>
        </w:rPr>
        <w:t>,</w:t>
      </w:r>
      <w:r w:rsidRPr="002D53A7">
        <w:rPr>
          <w:rFonts w:ascii="Arial Narrow" w:eastAsia="+mn-ea" w:hAnsi="Arial Narrow" w:cs="+mn-cs"/>
          <w:kern w:val="24"/>
          <w:sz w:val="24"/>
          <w:szCs w:val="24"/>
        </w:rPr>
        <w:t xml:space="preserve"> etc.)</w:t>
      </w:r>
    </w:p>
    <w:p w:rsidR="00FD41B4" w:rsidRPr="002D53A7" w:rsidRDefault="00FD41B4" w:rsidP="00446180">
      <w:pPr>
        <w:tabs>
          <w:tab w:val="num" w:pos="1440"/>
        </w:tabs>
        <w:spacing w:line="240" w:lineRule="auto"/>
        <w:jc w:val="both"/>
        <w:rPr>
          <w:rStyle w:val="Pogrubienie"/>
          <w:rFonts w:ascii="Arial Narrow" w:hAnsi="Arial Narrow"/>
          <w:b w:val="0"/>
          <w:szCs w:val="24"/>
        </w:rPr>
      </w:pPr>
      <w:r w:rsidRPr="002D53A7">
        <w:rPr>
          <w:rStyle w:val="Pogrubienie"/>
          <w:rFonts w:ascii="Arial Narrow" w:hAnsi="Arial Narrow"/>
          <w:b w:val="0"/>
          <w:szCs w:val="24"/>
        </w:rPr>
        <w:t>Obecna sytuacja braku zgodności danych i publicznej dostępności chociaż części z nich  stanowi element przyczyniający się do dalszego rozwoju przestępczości w obrocie paliwami.</w:t>
      </w:r>
      <w:r w:rsidR="00EB30E9" w:rsidRPr="002D53A7">
        <w:rPr>
          <w:rStyle w:val="Pogrubienie"/>
          <w:rFonts w:ascii="Arial Narrow" w:hAnsi="Arial Narrow"/>
          <w:b w:val="0"/>
          <w:szCs w:val="24"/>
        </w:rPr>
        <w:t xml:space="preserve"> </w:t>
      </w:r>
    </w:p>
    <w:p w:rsidR="00FD41B4" w:rsidRPr="002D53A7" w:rsidRDefault="00FD41B4" w:rsidP="008975AE">
      <w:pPr>
        <w:tabs>
          <w:tab w:val="num" w:pos="0"/>
        </w:tabs>
        <w:spacing w:line="240" w:lineRule="auto"/>
        <w:jc w:val="both"/>
        <w:rPr>
          <w:rFonts w:ascii="Arial Narrow" w:hAnsi="Arial Narrow" w:cs="Arial"/>
          <w:szCs w:val="24"/>
          <w:highlight w:val="yellow"/>
        </w:rPr>
      </w:pPr>
    </w:p>
    <w:p w:rsidR="00BF3D91" w:rsidRDefault="00BF3D91" w:rsidP="0058278E">
      <w:pPr>
        <w:pStyle w:val="Akapitzlist"/>
        <w:numPr>
          <w:ilvl w:val="0"/>
          <w:numId w:val="2"/>
        </w:numPr>
        <w:rPr>
          <w:rFonts w:ascii="Arial Narrow" w:hAnsi="Arial Narrow" w:cs="Arial"/>
          <w:b/>
          <w:sz w:val="24"/>
          <w:szCs w:val="24"/>
          <w:u w:val="single"/>
        </w:rPr>
      </w:pPr>
      <w:r w:rsidRPr="002D53A7">
        <w:rPr>
          <w:rFonts w:ascii="Arial Narrow" w:hAnsi="Arial Narrow" w:cs="Arial"/>
          <w:b/>
          <w:sz w:val="24"/>
          <w:szCs w:val="24"/>
          <w:u w:val="single"/>
        </w:rPr>
        <w:t>Zapasy obowiązkowe</w:t>
      </w:r>
    </w:p>
    <w:p w:rsidR="001F64DC" w:rsidRPr="002D53A7" w:rsidRDefault="001F64DC" w:rsidP="001F64DC">
      <w:pPr>
        <w:pStyle w:val="Akapitzlist"/>
        <w:rPr>
          <w:rFonts w:ascii="Arial Narrow" w:hAnsi="Arial Narrow" w:cs="Arial"/>
          <w:b/>
          <w:sz w:val="24"/>
          <w:szCs w:val="24"/>
          <w:u w:val="single"/>
        </w:rPr>
      </w:pPr>
    </w:p>
    <w:p w:rsidR="00BF3D91" w:rsidRPr="002D53A7" w:rsidRDefault="00F8028B" w:rsidP="0058278E">
      <w:pPr>
        <w:autoSpaceDE w:val="0"/>
        <w:autoSpaceDN w:val="0"/>
        <w:adjustRightInd w:val="0"/>
        <w:spacing w:line="240" w:lineRule="auto"/>
        <w:jc w:val="both"/>
        <w:rPr>
          <w:rFonts w:ascii="Arial Narrow" w:hAnsi="Arial Narrow"/>
          <w:szCs w:val="24"/>
        </w:rPr>
      </w:pPr>
      <w:r w:rsidRPr="002D53A7">
        <w:rPr>
          <w:rFonts w:ascii="Arial Narrow" w:hAnsi="Arial Narrow" w:cs="Arial"/>
          <w:szCs w:val="24"/>
        </w:rPr>
        <w:t xml:space="preserve">Wraz z przyjęciem </w:t>
      </w:r>
      <w:r w:rsidR="00F8311E" w:rsidRPr="002D53A7">
        <w:rPr>
          <w:rFonts w:ascii="Arial Narrow" w:hAnsi="Arial Narrow" w:cs="Arial"/>
          <w:szCs w:val="24"/>
        </w:rPr>
        <w:t xml:space="preserve">ustawy </w:t>
      </w:r>
      <w:r w:rsidR="00F8311E" w:rsidRPr="002D53A7">
        <w:rPr>
          <w:rFonts w:ascii="Arial Narrow" w:hAnsi="Arial Narrow"/>
          <w:bCs/>
          <w:szCs w:val="24"/>
        </w:rPr>
        <w:t>z dnia 30 maja 2014 r. o zmianie ustawy o zapasach ropy naftowej, produktów naftowych i gazu ziemnego oraz zasadach post</w:t>
      </w:r>
      <w:r w:rsidR="00F8311E" w:rsidRPr="002D53A7">
        <w:rPr>
          <w:rFonts w:ascii="Arial Narrow" w:hAnsi="Arial Narrow" w:cs="TimesNewRoman,Bold"/>
          <w:bCs/>
          <w:szCs w:val="24"/>
        </w:rPr>
        <w:t>ę</w:t>
      </w:r>
      <w:r w:rsidR="00F8311E" w:rsidRPr="002D53A7">
        <w:rPr>
          <w:rFonts w:ascii="Arial Narrow" w:hAnsi="Arial Narrow"/>
          <w:bCs/>
          <w:szCs w:val="24"/>
        </w:rPr>
        <w:t>powania w sytuacjach zagro</w:t>
      </w:r>
      <w:r w:rsidR="00F8311E" w:rsidRPr="002D53A7">
        <w:rPr>
          <w:rFonts w:ascii="Arial Narrow" w:hAnsi="Arial Narrow" w:cs="TimesNewRoman,Bold"/>
          <w:bCs/>
          <w:szCs w:val="24"/>
        </w:rPr>
        <w:t>ż</w:t>
      </w:r>
      <w:r w:rsidR="00F8311E" w:rsidRPr="002D53A7">
        <w:rPr>
          <w:rFonts w:ascii="Arial Narrow" w:hAnsi="Arial Narrow"/>
          <w:bCs/>
          <w:szCs w:val="24"/>
        </w:rPr>
        <w:t>enia bezpiecze</w:t>
      </w:r>
      <w:r w:rsidR="00F8311E" w:rsidRPr="002D53A7">
        <w:rPr>
          <w:rFonts w:ascii="Arial Narrow" w:hAnsi="Arial Narrow" w:cs="TimesNewRoman,Bold"/>
          <w:bCs/>
          <w:szCs w:val="24"/>
        </w:rPr>
        <w:t>ń</w:t>
      </w:r>
      <w:r w:rsidR="00F8311E" w:rsidRPr="002D53A7">
        <w:rPr>
          <w:rFonts w:ascii="Arial Narrow" w:hAnsi="Arial Narrow"/>
          <w:bCs/>
          <w:szCs w:val="24"/>
        </w:rPr>
        <w:t>stwa paliwowego pa</w:t>
      </w:r>
      <w:r w:rsidR="00F8311E" w:rsidRPr="002D53A7">
        <w:rPr>
          <w:rFonts w:ascii="Arial Narrow" w:hAnsi="Arial Narrow" w:cs="TimesNewRoman,Bold"/>
          <w:bCs/>
          <w:szCs w:val="24"/>
        </w:rPr>
        <w:t>ń</w:t>
      </w:r>
      <w:r w:rsidR="00F8311E" w:rsidRPr="002D53A7">
        <w:rPr>
          <w:rFonts w:ascii="Arial Narrow" w:hAnsi="Arial Narrow"/>
          <w:bCs/>
          <w:szCs w:val="24"/>
        </w:rPr>
        <w:t>stwa i zak</w:t>
      </w:r>
      <w:r w:rsidR="00F8311E" w:rsidRPr="002D53A7">
        <w:rPr>
          <w:rFonts w:ascii="Arial Narrow" w:hAnsi="Arial Narrow" w:cs="TimesNewRoman,Bold"/>
          <w:bCs/>
          <w:szCs w:val="24"/>
        </w:rPr>
        <w:t>ł</w:t>
      </w:r>
      <w:r w:rsidR="00F8311E" w:rsidRPr="002D53A7">
        <w:rPr>
          <w:rFonts w:ascii="Arial Narrow" w:hAnsi="Arial Narrow"/>
          <w:bCs/>
          <w:szCs w:val="24"/>
        </w:rPr>
        <w:t>óce</w:t>
      </w:r>
      <w:r w:rsidR="00F8311E" w:rsidRPr="002D53A7">
        <w:rPr>
          <w:rFonts w:ascii="Arial Narrow" w:hAnsi="Arial Narrow" w:cs="TimesNewRoman,Bold"/>
          <w:bCs/>
          <w:szCs w:val="24"/>
        </w:rPr>
        <w:t xml:space="preserve">ń </w:t>
      </w:r>
      <w:r w:rsidR="00F8311E" w:rsidRPr="002D53A7">
        <w:rPr>
          <w:rFonts w:ascii="Arial Narrow" w:hAnsi="Arial Narrow"/>
          <w:bCs/>
          <w:szCs w:val="24"/>
        </w:rPr>
        <w:t>na rynku naftowym oraz niektórych innych ustaw, d</w:t>
      </w:r>
      <w:r w:rsidR="00BF3D91" w:rsidRPr="002D53A7">
        <w:rPr>
          <w:rFonts w:ascii="Arial Narrow" w:hAnsi="Arial Narrow"/>
          <w:szCs w:val="24"/>
        </w:rPr>
        <w:t>obieg</w:t>
      </w:r>
      <w:r w:rsidR="008C040E" w:rsidRPr="002D53A7">
        <w:rPr>
          <w:rFonts w:ascii="Arial Narrow" w:hAnsi="Arial Narrow"/>
          <w:szCs w:val="24"/>
        </w:rPr>
        <w:t>ły</w:t>
      </w:r>
      <w:r w:rsidR="00BF3D91" w:rsidRPr="002D53A7">
        <w:rPr>
          <w:rFonts w:ascii="Arial Narrow" w:hAnsi="Arial Narrow"/>
          <w:szCs w:val="24"/>
        </w:rPr>
        <w:t xml:space="preserve"> </w:t>
      </w:r>
      <w:r w:rsidR="00A77A81" w:rsidRPr="002D53A7">
        <w:rPr>
          <w:rFonts w:ascii="Arial Narrow" w:hAnsi="Arial Narrow"/>
          <w:szCs w:val="24"/>
        </w:rPr>
        <w:t xml:space="preserve">końca </w:t>
      </w:r>
      <w:r w:rsidR="00BF3D91" w:rsidRPr="002D53A7">
        <w:rPr>
          <w:rFonts w:ascii="Arial Narrow" w:hAnsi="Arial Narrow"/>
          <w:szCs w:val="24"/>
        </w:rPr>
        <w:t xml:space="preserve">prace nad przyjęciem </w:t>
      </w:r>
      <w:r w:rsidR="00BF3D91" w:rsidRPr="002D53A7">
        <w:rPr>
          <w:rFonts w:ascii="Arial Narrow" w:hAnsi="Arial Narrow" w:cs="Arial"/>
          <w:szCs w:val="24"/>
        </w:rPr>
        <w:t xml:space="preserve">do polskiego systemu prawa zapisów Dyrektywy </w:t>
      </w:r>
      <w:r w:rsidR="00BF3D91" w:rsidRPr="002D53A7">
        <w:rPr>
          <w:rFonts w:ascii="Arial Narrow" w:hAnsi="Arial Narrow"/>
          <w:szCs w:val="24"/>
        </w:rPr>
        <w:t xml:space="preserve"> 2009/119/WE </w:t>
      </w:r>
      <w:r w:rsidR="008D07BB" w:rsidRPr="002D53A7">
        <w:rPr>
          <w:rFonts w:ascii="Arial Narrow" w:hAnsi="Arial Narrow"/>
          <w:szCs w:val="24"/>
        </w:rPr>
        <w:t xml:space="preserve"> </w:t>
      </w:r>
      <w:r w:rsidR="00BF3D91" w:rsidRPr="002D53A7">
        <w:rPr>
          <w:rFonts w:ascii="Arial Narrow" w:hAnsi="Arial Narrow"/>
          <w:szCs w:val="24"/>
        </w:rPr>
        <w:t xml:space="preserve">z dnia 14 września 2009 roku w kwestii </w:t>
      </w:r>
      <w:r w:rsidR="00BF3D91" w:rsidRPr="002D53A7">
        <w:rPr>
          <w:rFonts w:ascii="Arial Narrow" w:hAnsi="Arial Narrow" w:cs="Arial"/>
          <w:szCs w:val="24"/>
        </w:rPr>
        <w:t xml:space="preserve">systemu zapasów obowiązkowych. </w:t>
      </w:r>
      <w:r w:rsidR="00A77A81" w:rsidRPr="002D53A7">
        <w:rPr>
          <w:rFonts w:ascii="Arial Narrow" w:hAnsi="Arial Narrow" w:cs="Arial"/>
          <w:szCs w:val="24"/>
        </w:rPr>
        <w:t xml:space="preserve">Częściowo zastąpiono obowiązek utrzymywania zapasów obowiązkowych przez przedsiębiorców obowiązkiem uiszczenia opłaty zapasowej przeznaczonej na utrzymywanie zapasów przez instytucję państwową (Agencję Rezerw Materiałowych). Do końca roku 2017 obowiązek nałożony dotychczas na podmioty zobligowane do odkładania zapasów ma ulec obniżeniu o 30%. (z 76 do 53 dni). </w:t>
      </w:r>
      <w:r w:rsidR="00902A46" w:rsidRPr="002D53A7">
        <w:rPr>
          <w:rFonts w:ascii="Arial Narrow" w:hAnsi="Arial Narrow" w:cs="Arial"/>
          <w:szCs w:val="24"/>
        </w:rPr>
        <w:t>Nowelizując przepisy wykonawcze u</w:t>
      </w:r>
      <w:r w:rsidR="00B57F6A">
        <w:rPr>
          <w:rFonts w:ascii="Arial Narrow" w:hAnsi="Arial Narrow" w:cs="Arial"/>
          <w:szCs w:val="24"/>
        </w:rPr>
        <w:t>porządkowano kwestie związane z </w:t>
      </w:r>
      <w:r w:rsidR="00902A46" w:rsidRPr="002D53A7">
        <w:rPr>
          <w:rFonts w:ascii="Arial Narrow" w:hAnsi="Arial Narrow" w:cs="Arial"/>
          <w:szCs w:val="24"/>
        </w:rPr>
        <w:t>określeniem produktów, które podlegają obowiązkowi odkładania zapasów oraz określono w jakiej formie zapasy mogą być przechowywane. Przygotowano zapisy określające sposób wyliczania i wykonywania odliczeń przy naliczaniu opłaty zapasowej z zastosowaniem obowiązującej stawki tejże opłaty. Powołano Radę Konsultacyjną ds. Zapasów Interwencyjnych, będącą ciałem doradczym skupiającym przedstawicieli sektora, która ma pełnić funkcje konsultacyjne</w:t>
      </w:r>
      <w:r w:rsidR="00F05560" w:rsidRPr="002D53A7">
        <w:rPr>
          <w:rFonts w:ascii="Arial Narrow" w:hAnsi="Arial Narrow" w:cs="Arial"/>
          <w:szCs w:val="24"/>
        </w:rPr>
        <w:t xml:space="preserve"> </w:t>
      </w:r>
      <w:r w:rsidR="00902A46" w:rsidRPr="002D53A7">
        <w:rPr>
          <w:rFonts w:ascii="Arial Narrow" w:hAnsi="Arial Narrow" w:cs="Arial"/>
          <w:szCs w:val="24"/>
        </w:rPr>
        <w:t xml:space="preserve">w procesie wdrażania nowego prawa. </w:t>
      </w:r>
      <w:r w:rsidR="00BF3D91" w:rsidRPr="002D53A7">
        <w:rPr>
          <w:rFonts w:ascii="Arial Narrow" w:hAnsi="Arial Narrow" w:cs="Arial"/>
          <w:szCs w:val="24"/>
        </w:rPr>
        <w:t xml:space="preserve">Branża od wielu lat wnioskowała o jak najszybsze </w:t>
      </w:r>
      <w:r w:rsidR="008D07BB" w:rsidRPr="002D53A7">
        <w:rPr>
          <w:rFonts w:ascii="Arial Narrow" w:hAnsi="Arial Narrow" w:cs="Arial"/>
          <w:szCs w:val="24"/>
        </w:rPr>
        <w:t xml:space="preserve">i najpełniejsze wdrożenie zmian </w:t>
      </w:r>
      <w:r w:rsidR="00BF3D91" w:rsidRPr="002D53A7">
        <w:rPr>
          <w:rFonts w:ascii="Arial Narrow" w:hAnsi="Arial Narrow" w:cs="Arial"/>
          <w:szCs w:val="24"/>
        </w:rPr>
        <w:t>w systemie zapasów obowiązkowych.</w:t>
      </w:r>
      <w:r w:rsidR="008C040E" w:rsidRPr="002D53A7">
        <w:rPr>
          <w:rFonts w:ascii="Arial Narrow" w:hAnsi="Arial Narrow" w:cs="Arial"/>
          <w:szCs w:val="24"/>
        </w:rPr>
        <w:t xml:space="preserve"> Rozwiązania</w:t>
      </w:r>
      <w:r w:rsidR="00F8311E" w:rsidRPr="002D53A7">
        <w:rPr>
          <w:rFonts w:ascii="Arial Narrow" w:hAnsi="Arial Narrow" w:cs="Arial"/>
          <w:szCs w:val="24"/>
        </w:rPr>
        <w:t xml:space="preserve"> te </w:t>
      </w:r>
      <w:r w:rsidR="008C040E" w:rsidRPr="002D53A7">
        <w:rPr>
          <w:rFonts w:ascii="Arial Narrow" w:hAnsi="Arial Narrow" w:cs="Arial"/>
          <w:szCs w:val="24"/>
        </w:rPr>
        <w:t>stanowią krok w dobrym kierunku, ale nie do k</w:t>
      </w:r>
      <w:r w:rsidR="00F8311E" w:rsidRPr="002D53A7">
        <w:rPr>
          <w:rFonts w:ascii="Arial Narrow" w:hAnsi="Arial Narrow" w:cs="Arial"/>
          <w:szCs w:val="24"/>
        </w:rPr>
        <w:t>ońca spełniają oczekiwania branż</w:t>
      </w:r>
      <w:r w:rsidR="008C040E" w:rsidRPr="002D53A7">
        <w:rPr>
          <w:rFonts w:ascii="Arial Narrow" w:hAnsi="Arial Narrow" w:cs="Arial"/>
          <w:szCs w:val="24"/>
        </w:rPr>
        <w:t xml:space="preserve">y. </w:t>
      </w:r>
    </w:p>
    <w:p w:rsidR="00BF3D91" w:rsidRPr="002D53A7" w:rsidRDefault="00BF3D91" w:rsidP="0058278E">
      <w:pPr>
        <w:spacing w:line="240" w:lineRule="auto"/>
        <w:jc w:val="both"/>
        <w:rPr>
          <w:rFonts w:ascii="Arial Narrow" w:hAnsi="Arial Narrow"/>
          <w:b/>
          <w:szCs w:val="24"/>
          <w:highlight w:val="yellow"/>
        </w:rPr>
      </w:pPr>
    </w:p>
    <w:p w:rsidR="00BF3D91" w:rsidRDefault="00BF3D91" w:rsidP="0058278E">
      <w:pPr>
        <w:spacing w:line="240" w:lineRule="auto"/>
        <w:jc w:val="both"/>
        <w:rPr>
          <w:rFonts w:ascii="Arial Narrow" w:hAnsi="Arial Narrow"/>
          <w:b/>
          <w:szCs w:val="24"/>
        </w:rPr>
      </w:pPr>
      <w:r w:rsidRPr="002D53A7">
        <w:rPr>
          <w:rFonts w:ascii="Arial Narrow" w:hAnsi="Arial Narrow"/>
          <w:b/>
          <w:szCs w:val="24"/>
        </w:rPr>
        <w:t>Nasze stanowisko:</w:t>
      </w:r>
    </w:p>
    <w:p w:rsidR="009C5142" w:rsidRPr="002D53A7" w:rsidRDefault="009C5142" w:rsidP="0058278E">
      <w:pPr>
        <w:spacing w:line="240" w:lineRule="auto"/>
        <w:jc w:val="both"/>
        <w:rPr>
          <w:rFonts w:ascii="Arial Narrow" w:hAnsi="Arial Narrow"/>
          <w:b/>
          <w:szCs w:val="24"/>
        </w:rPr>
      </w:pPr>
    </w:p>
    <w:p w:rsidR="004C2D3D" w:rsidRPr="002D53A7" w:rsidRDefault="00BF3D91" w:rsidP="0058278E">
      <w:pPr>
        <w:spacing w:line="240" w:lineRule="auto"/>
        <w:jc w:val="both"/>
        <w:rPr>
          <w:rFonts w:ascii="Arial Narrow" w:hAnsi="Arial Narrow"/>
          <w:szCs w:val="24"/>
        </w:rPr>
      </w:pPr>
      <w:r w:rsidRPr="002D53A7">
        <w:rPr>
          <w:rFonts w:ascii="Arial Narrow" w:hAnsi="Arial Narrow"/>
          <w:szCs w:val="24"/>
        </w:rPr>
        <w:t>Branża oczekuje podjęci</w:t>
      </w:r>
      <w:r w:rsidR="000F6AE1" w:rsidRPr="002D53A7">
        <w:rPr>
          <w:rFonts w:ascii="Arial Narrow" w:hAnsi="Arial Narrow"/>
          <w:szCs w:val="24"/>
        </w:rPr>
        <w:t>a</w:t>
      </w:r>
      <w:r w:rsidRPr="002D53A7">
        <w:rPr>
          <w:rFonts w:ascii="Arial Narrow" w:hAnsi="Arial Narrow"/>
          <w:szCs w:val="24"/>
        </w:rPr>
        <w:t xml:space="preserve"> prac nad całościową zmianą systemu zapasów obowiązkowych m.in. poprzez wprowadzenie jednolitej (na poziomie krajowym i podmiotów gospodarczych) metodologii wyliczenia zapasów obowiązkowych w ramach kompleksowej regulacji rynku paliwowego w Polsce</w:t>
      </w:r>
      <w:r w:rsidR="004C2D3D" w:rsidRPr="002D53A7">
        <w:rPr>
          <w:rFonts w:ascii="Arial Narrow" w:hAnsi="Arial Narrow"/>
          <w:szCs w:val="24"/>
        </w:rPr>
        <w:t>, wraz z dalszą reformą na rzecz wprowadzenia pełnego systemu agencyjnego.</w:t>
      </w:r>
    </w:p>
    <w:p w:rsidR="00443590" w:rsidRPr="002D53A7" w:rsidRDefault="00BF3D91" w:rsidP="000F6AE1">
      <w:pPr>
        <w:spacing w:line="240" w:lineRule="auto"/>
        <w:jc w:val="both"/>
        <w:rPr>
          <w:rFonts w:ascii="Arial Narrow" w:hAnsi="Arial Narrow"/>
          <w:szCs w:val="24"/>
        </w:rPr>
      </w:pPr>
      <w:r w:rsidRPr="002D53A7">
        <w:rPr>
          <w:rFonts w:ascii="Arial Narrow" w:hAnsi="Arial Narrow"/>
          <w:szCs w:val="24"/>
        </w:rPr>
        <w:t>POPiHN wnioskuje również o podjęcie działań mających na celu zawarcie umów bilateralnych</w:t>
      </w:r>
      <w:r w:rsidR="008D07BB" w:rsidRPr="002D53A7">
        <w:rPr>
          <w:rFonts w:ascii="Arial Narrow" w:hAnsi="Arial Narrow"/>
          <w:szCs w:val="24"/>
        </w:rPr>
        <w:t xml:space="preserve"> </w:t>
      </w:r>
      <w:r w:rsidRPr="002D53A7">
        <w:rPr>
          <w:rFonts w:ascii="Arial Narrow" w:hAnsi="Arial Narrow"/>
          <w:szCs w:val="24"/>
        </w:rPr>
        <w:t xml:space="preserve">z państwami ościennymi, umożliwiających wzajemne utrzymywanie zapasów obowiązkowych za granicą (podmiotów zagranicznych na terenie Polski, podmiotów polskich za granicą). Obecnie obowiązujące przepisy ustawy </w:t>
      </w:r>
      <w:r w:rsidRPr="002D53A7">
        <w:rPr>
          <w:rFonts w:ascii="Arial Narrow" w:hAnsi="Arial Narrow"/>
          <w:szCs w:val="24"/>
        </w:rPr>
        <w:lastRenderedPageBreak/>
        <w:t>wobec braku umów bilateralnych są zapisami martwymi.</w:t>
      </w:r>
      <w:r w:rsidR="00F8311E" w:rsidRPr="002D53A7">
        <w:rPr>
          <w:rFonts w:ascii="Arial Narrow" w:hAnsi="Arial Narrow"/>
          <w:szCs w:val="24"/>
        </w:rPr>
        <w:t xml:space="preserve"> Konieczne jest k</w:t>
      </w:r>
      <w:r w:rsidR="00443590" w:rsidRPr="002D53A7">
        <w:rPr>
          <w:rFonts w:ascii="Arial Narrow" w:hAnsi="Arial Narrow"/>
          <w:szCs w:val="24"/>
        </w:rPr>
        <w:t>ontrolowanie wysokości stawki opłaty zapasowej i jej dostosowanie do warunków rynkowych</w:t>
      </w:r>
      <w:r w:rsidR="00F8311E" w:rsidRPr="002D53A7">
        <w:rPr>
          <w:rFonts w:ascii="Arial Narrow" w:hAnsi="Arial Narrow"/>
          <w:szCs w:val="24"/>
        </w:rPr>
        <w:t xml:space="preserve">, a także analiza przez Ministerstwo Gospodarki oraz Agencję Rezerw Materiałowych skutków przyjętych regulacji. </w:t>
      </w:r>
    </w:p>
    <w:p w:rsidR="000F6AE1" w:rsidRPr="002D53A7" w:rsidRDefault="000F6AE1" w:rsidP="00430AD3">
      <w:pPr>
        <w:spacing w:line="240" w:lineRule="auto"/>
        <w:jc w:val="both"/>
        <w:rPr>
          <w:rFonts w:ascii="Arial Narrow" w:hAnsi="Arial Narrow"/>
          <w:sz w:val="22"/>
        </w:rPr>
      </w:pPr>
      <w:r w:rsidRPr="002D53A7">
        <w:rPr>
          <w:rFonts w:ascii="Arial Narrow" w:hAnsi="Arial Narrow"/>
        </w:rPr>
        <w:t>Ponadto zdaniem organizacji  przepisy regulujące system zapasów interwencyjnych ropy i paliw powinny zostać uzupełnione o postanowienia, określające zasady działania krajowego systemu logistyki paliwowej (magazyny, rurociągi przesyłowe, terminale przeładunkowe)  w sytuacji wystąpienia zakłóceń na rynku naftowym, w tym określające zasady wydawania przez  przedsiębiorców logistycznych  zapasów interwencyjnych na rynek oraz współpracy tych przedsiębiorców w zakresie optymalnego wykorzystania współpracującej ze sobą infrastruktury logistycznej.</w:t>
      </w:r>
    </w:p>
    <w:p w:rsidR="00BF3D91" w:rsidRPr="002D53A7" w:rsidRDefault="00BF3D91" w:rsidP="00BF3D91">
      <w:pPr>
        <w:spacing w:line="240" w:lineRule="auto"/>
        <w:jc w:val="both"/>
        <w:rPr>
          <w:rFonts w:ascii="Arial Narrow" w:hAnsi="Arial Narrow"/>
          <w:szCs w:val="24"/>
          <w:highlight w:val="yellow"/>
        </w:rPr>
      </w:pPr>
    </w:p>
    <w:p w:rsidR="00BF3D91" w:rsidRDefault="00BF3D91" w:rsidP="002D53A7">
      <w:pPr>
        <w:pStyle w:val="Akapitzlist"/>
        <w:numPr>
          <w:ilvl w:val="0"/>
          <w:numId w:val="2"/>
        </w:numPr>
        <w:rPr>
          <w:rFonts w:ascii="Arial Narrow" w:hAnsi="Arial Narrow" w:cs="Arial"/>
          <w:b/>
          <w:sz w:val="24"/>
          <w:szCs w:val="24"/>
          <w:u w:val="single"/>
        </w:rPr>
      </w:pPr>
      <w:r w:rsidRPr="002D53A7">
        <w:rPr>
          <w:rFonts w:ascii="Arial Narrow" w:hAnsi="Arial Narrow" w:cs="Arial"/>
          <w:b/>
          <w:sz w:val="24"/>
          <w:szCs w:val="24"/>
          <w:u w:val="single"/>
        </w:rPr>
        <w:t>Regulacje podatkowe</w:t>
      </w:r>
    </w:p>
    <w:p w:rsidR="001F64DC" w:rsidRPr="001F64DC" w:rsidRDefault="001F64DC" w:rsidP="001F64DC">
      <w:pPr>
        <w:pStyle w:val="Akapitzlist"/>
        <w:rPr>
          <w:rFonts w:ascii="Arial Narrow" w:hAnsi="Arial Narrow" w:cs="Arial"/>
          <w:b/>
          <w:sz w:val="24"/>
          <w:szCs w:val="24"/>
          <w:u w:val="single"/>
        </w:rPr>
      </w:pPr>
    </w:p>
    <w:p w:rsidR="00891D9D" w:rsidRPr="002D53A7" w:rsidRDefault="00BF3D91" w:rsidP="00BF3D91">
      <w:pPr>
        <w:spacing w:line="240" w:lineRule="auto"/>
        <w:jc w:val="both"/>
        <w:rPr>
          <w:rFonts w:ascii="Arial Narrow" w:hAnsi="Arial Narrow"/>
          <w:szCs w:val="24"/>
        </w:rPr>
      </w:pPr>
      <w:r w:rsidRPr="002D53A7">
        <w:rPr>
          <w:rFonts w:ascii="Arial Narrow" w:hAnsi="Arial Narrow"/>
          <w:szCs w:val="24"/>
        </w:rPr>
        <w:t>Regulacje podatkowe stanowią od lat jeden z głównych problemów branży.</w:t>
      </w:r>
      <w:r w:rsidR="009A1713" w:rsidRPr="002D53A7">
        <w:rPr>
          <w:rFonts w:ascii="Arial Narrow" w:hAnsi="Arial Narrow"/>
          <w:szCs w:val="24"/>
        </w:rPr>
        <w:t xml:space="preserve"> Odnotowujemy jednak </w:t>
      </w:r>
      <w:r w:rsidR="00891D9D" w:rsidRPr="002D53A7">
        <w:rPr>
          <w:rFonts w:ascii="Arial Narrow" w:hAnsi="Arial Narrow"/>
          <w:szCs w:val="24"/>
        </w:rPr>
        <w:t>większą otwartość Ministerstwa</w:t>
      </w:r>
      <w:r w:rsidR="009A1713" w:rsidRPr="002D53A7">
        <w:rPr>
          <w:rFonts w:ascii="Arial Narrow" w:hAnsi="Arial Narrow"/>
          <w:szCs w:val="24"/>
        </w:rPr>
        <w:t xml:space="preserve"> Finansów </w:t>
      </w:r>
      <w:r w:rsidR="00891D9D" w:rsidRPr="002D53A7">
        <w:rPr>
          <w:rFonts w:ascii="Arial Narrow" w:hAnsi="Arial Narrow"/>
          <w:szCs w:val="24"/>
        </w:rPr>
        <w:t>na kontakty z pr</w:t>
      </w:r>
      <w:r w:rsidR="009A1713" w:rsidRPr="002D53A7">
        <w:rPr>
          <w:rFonts w:ascii="Arial Narrow" w:hAnsi="Arial Narrow"/>
          <w:szCs w:val="24"/>
        </w:rPr>
        <w:t>zedstawicielami branży, w tym w zakresie</w:t>
      </w:r>
      <w:r w:rsidR="00891D9D" w:rsidRPr="002D53A7">
        <w:rPr>
          <w:rFonts w:ascii="Arial Narrow" w:hAnsi="Arial Narrow"/>
          <w:szCs w:val="24"/>
        </w:rPr>
        <w:t xml:space="preserve"> konsultacji przepisów o</w:t>
      </w:r>
      <w:r w:rsidR="009A1713" w:rsidRPr="002D53A7">
        <w:rPr>
          <w:rFonts w:ascii="Arial Narrow" w:hAnsi="Arial Narrow"/>
          <w:szCs w:val="24"/>
        </w:rPr>
        <w:t xml:space="preserve"> VAT oraz </w:t>
      </w:r>
      <w:r w:rsidRPr="002D53A7">
        <w:rPr>
          <w:rFonts w:ascii="Arial Narrow" w:hAnsi="Arial Narrow"/>
          <w:szCs w:val="24"/>
        </w:rPr>
        <w:t>prz</w:t>
      </w:r>
      <w:r w:rsidR="001F64DC">
        <w:rPr>
          <w:rFonts w:ascii="Arial Narrow" w:hAnsi="Arial Narrow"/>
          <w:szCs w:val="24"/>
        </w:rPr>
        <w:t>episów technicznych, związanych</w:t>
      </w:r>
      <w:r w:rsidR="00256987" w:rsidRPr="002D53A7">
        <w:rPr>
          <w:rFonts w:ascii="Arial Narrow" w:hAnsi="Arial Narrow"/>
          <w:szCs w:val="24"/>
        </w:rPr>
        <w:t xml:space="preserve"> </w:t>
      </w:r>
      <w:r w:rsidRPr="002D53A7">
        <w:rPr>
          <w:rFonts w:ascii="Arial Narrow" w:hAnsi="Arial Narrow"/>
          <w:szCs w:val="24"/>
        </w:rPr>
        <w:t xml:space="preserve">z podatkiem akcyzowym. </w:t>
      </w:r>
      <w:r w:rsidR="00036E3D" w:rsidRPr="002D53A7">
        <w:rPr>
          <w:rFonts w:ascii="Arial Narrow" w:hAnsi="Arial Narrow"/>
          <w:szCs w:val="24"/>
        </w:rPr>
        <w:t xml:space="preserve">Na rok 2015 zaplanowane jest przyjęcie szeregu zmian </w:t>
      </w:r>
      <w:r w:rsidR="001F64DC">
        <w:rPr>
          <w:rFonts w:ascii="Arial Narrow" w:hAnsi="Arial Narrow"/>
          <w:szCs w:val="24"/>
        </w:rPr>
        <w:t xml:space="preserve"> </w:t>
      </w:r>
      <w:r w:rsidR="00036E3D" w:rsidRPr="002D53A7">
        <w:rPr>
          <w:rFonts w:ascii="Arial Narrow" w:hAnsi="Arial Narrow"/>
          <w:szCs w:val="24"/>
        </w:rPr>
        <w:t xml:space="preserve">w przepisach, zarówno dotyczących VAT, CIT, jak też akcyzy – w dużym stopniu w oparciu o rekomendacje zawarte w pakietach </w:t>
      </w:r>
      <w:proofErr w:type="spellStart"/>
      <w:r w:rsidR="00036E3D" w:rsidRPr="002D53A7">
        <w:rPr>
          <w:rFonts w:ascii="Arial Narrow" w:hAnsi="Arial Narrow"/>
          <w:szCs w:val="24"/>
        </w:rPr>
        <w:t>deregulacyjnych</w:t>
      </w:r>
      <w:proofErr w:type="spellEnd"/>
      <w:r w:rsidR="00036E3D" w:rsidRPr="002D53A7">
        <w:rPr>
          <w:rFonts w:ascii="Arial Narrow" w:hAnsi="Arial Narrow"/>
          <w:szCs w:val="24"/>
        </w:rPr>
        <w:t xml:space="preserve">, a także wypracowane przez Radę Podatkową przy Ministrze Finansów. </w:t>
      </w:r>
    </w:p>
    <w:p w:rsidR="00BF3D91" w:rsidRPr="002D53A7" w:rsidRDefault="00891D9D" w:rsidP="00BF3D91">
      <w:pPr>
        <w:spacing w:line="240" w:lineRule="auto"/>
        <w:jc w:val="both"/>
        <w:rPr>
          <w:rFonts w:ascii="Arial Narrow" w:hAnsi="Arial Narrow" w:cs="Arial"/>
          <w:szCs w:val="24"/>
          <w:highlight w:val="yellow"/>
        </w:rPr>
      </w:pPr>
      <w:r w:rsidRPr="002D53A7">
        <w:rPr>
          <w:rFonts w:ascii="Arial Narrow" w:hAnsi="Arial Narrow"/>
          <w:szCs w:val="24"/>
        </w:rPr>
        <w:t>Pr</w:t>
      </w:r>
      <w:r w:rsidR="00BF3D91" w:rsidRPr="002D53A7">
        <w:rPr>
          <w:rFonts w:ascii="Arial Narrow" w:hAnsi="Arial Narrow"/>
          <w:szCs w:val="24"/>
        </w:rPr>
        <w:t xml:space="preserve">oblemem </w:t>
      </w:r>
      <w:r w:rsidRPr="002D53A7">
        <w:rPr>
          <w:rFonts w:ascii="Arial Narrow" w:hAnsi="Arial Narrow"/>
          <w:szCs w:val="24"/>
        </w:rPr>
        <w:t xml:space="preserve">pozostaje </w:t>
      </w:r>
      <w:r w:rsidR="00BF3D91" w:rsidRPr="002D53A7">
        <w:rPr>
          <w:rFonts w:ascii="Arial Narrow" w:hAnsi="Arial Narrow"/>
          <w:szCs w:val="24"/>
        </w:rPr>
        <w:t xml:space="preserve">znaczny udział obciążeń podatkowych w cenie paliw, przekraczający minimalny poziom, określony przez przepisy unijne. </w:t>
      </w:r>
      <w:r w:rsidR="00BF3D91" w:rsidRPr="002D53A7">
        <w:rPr>
          <w:rFonts w:ascii="Arial Narrow" w:hAnsi="Arial Narrow" w:cs="Arial"/>
          <w:szCs w:val="24"/>
        </w:rPr>
        <w:t>W 201</w:t>
      </w:r>
      <w:r w:rsidR="009A1713" w:rsidRPr="002D53A7">
        <w:rPr>
          <w:rFonts w:ascii="Arial Narrow" w:hAnsi="Arial Narrow" w:cs="Arial"/>
          <w:szCs w:val="24"/>
        </w:rPr>
        <w:t>5</w:t>
      </w:r>
      <w:r w:rsidR="00BF3D91" w:rsidRPr="002D53A7">
        <w:rPr>
          <w:rFonts w:ascii="Arial Narrow" w:hAnsi="Arial Narrow" w:cs="Arial"/>
          <w:szCs w:val="24"/>
        </w:rPr>
        <w:t xml:space="preserve"> roku wysokość podatku akcyzowego dla benzyn i oleju napędowego pozostaje powyżej minimum unijnego, określonego na podstawie </w:t>
      </w:r>
      <w:r w:rsidR="009A1713" w:rsidRPr="002D53A7">
        <w:rPr>
          <w:rFonts w:ascii="Arial Narrow" w:hAnsi="Arial Narrow" w:cs="Arial"/>
          <w:szCs w:val="24"/>
        </w:rPr>
        <w:t xml:space="preserve">kursu </w:t>
      </w:r>
      <w:r w:rsidR="00F14BE7" w:rsidRPr="002D53A7">
        <w:rPr>
          <w:rFonts w:ascii="Arial Narrow" w:hAnsi="Arial Narrow" w:cs="Arial"/>
          <w:szCs w:val="24"/>
        </w:rPr>
        <w:t>euro</w:t>
      </w:r>
      <w:r w:rsidR="009A1713" w:rsidRPr="002D53A7">
        <w:rPr>
          <w:rFonts w:ascii="Arial Narrow" w:hAnsi="Arial Narrow" w:cs="Arial"/>
          <w:szCs w:val="24"/>
        </w:rPr>
        <w:t xml:space="preserve"> z 1 października 2014</w:t>
      </w:r>
      <w:r w:rsidR="00BF3D91" w:rsidRPr="002D53A7">
        <w:rPr>
          <w:rFonts w:ascii="Arial Narrow" w:hAnsi="Arial Narrow" w:cs="Arial"/>
          <w:szCs w:val="24"/>
        </w:rPr>
        <w:t xml:space="preserve">. Obniżka wpływów do budżetu z tego tytułu mogłaby zostać zniwelowana poprzez efektywniejsze zwalczanie szarej strefy, a także pobudzenie popytu na paliwa. Ustalenie podatku akcyzowego na poziomie minimum UE pozwoliłoby na obniżkę detalicznej ceny benzyny </w:t>
      </w:r>
      <w:r w:rsidR="008D07BB" w:rsidRPr="002D53A7">
        <w:rPr>
          <w:rFonts w:ascii="Arial Narrow" w:hAnsi="Arial Narrow" w:cs="Arial"/>
          <w:szCs w:val="24"/>
        </w:rPr>
        <w:t xml:space="preserve"> </w:t>
      </w:r>
      <w:r w:rsidR="00BF3D91" w:rsidRPr="002D53A7">
        <w:rPr>
          <w:rFonts w:ascii="Arial Narrow" w:hAnsi="Arial Narrow" w:cs="Arial"/>
          <w:szCs w:val="24"/>
        </w:rPr>
        <w:t xml:space="preserve">o </w:t>
      </w:r>
      <w:r w:rsidR="000752E4" w:rsidRPr="002D53A7">
        <w:rPr>
          <w:rFonts w:ascii="Arial Narrow" w:hAnsi="Arial Narrow" w:cs="Arial"/>
          <w:szCs w:val="24"/>
        </w:rPr>
        <w:t xml:space="preserve">21 </w:t>
      </w:r>
      <w:r w:rsidR="00BF3D91" w:rsidRPr="002D53A7">
        <w:rPr>
          <w:rFonts w:ascii="Arial Narrow" w:hAnsi="Arial Narrow" w:cs="Arial"/>
          <w:szCs w:val="24"/>
        </w:rPr>
        <w:t xml:space="preserve">gr/litr, zaś oleju napędowego </w:t>
      </w:r>
      <w:r w:rsidR="00256987" w:rsidRPr="002D53A7">
        <w:rPr>
          <w:rFonts w:ascii="Arial Narrow" w:hAnsi="Arial Narrow" w:cs="Arial"/>
          <w:szCs w:val="24"/>
        </w:rPr>
        <w:t xml:space="preserve"> </w:t>
      </w:r>
      <w:r w:rsidR="00BF3D91" w:rsidRPr="002D53A7">
        <w:rPr>
          <w:rFonts w:ascii="Arial Narrow" w:hAnsi="Arial Narrow" w:cs="Arial"/>
          <w:szCs w:val="24"/>
        </w:rPr>
        <w:t xml:space="preserve">o </w:t>
      </w:r>
      <w:r w:rsidR="000752E4" w:rsidRPr="002D53A7">
        <w:rPr>
          <w:rFonts w:ascii="Arial Narrow" w:hAnsi="Arial Narrow" w:cs="Arial"/>
          <w:szCs w:val="24"/>
        </w:rPr>
        <w:t xml:space="preserve">10 </w:t>
      </w:r>
      <w:r w:rsidR="00BF3D91" w:rsidRPr="002D53A7">
        <w:rPr>
          <w:rFonts w:ascii="Arial Narrow" w:hAnsi="Arial Narrow" w:cs="Arial"/>
          <w:szCs w:val="24"/>
        </w:rPr>
        <w:t>gr/litr.</w:t>
      </w:r>
    </w:p>
    <w:p w:rsidR="00855B98" w:rsidRPr="002D53A7" w:rsidRDefault="00855B98" w:rsidP="00BF3D91">
      <w:pPr>
        <w:spacing w:line="240" w:lineRule="auto"/>
        <w:jc w:val="both"/>
        <w:rPr>
          <w:rFonts w:ascii="Arial Narrow" w:hAnsi="Arial Narrow"/>
          <w:b/>
          <w:szCs w:val="24"/>
        </w:rPr>
      </w:pPr>
    </w:p>
    <w:p w:rsidR="009F64F2" w:rsidRDefault="00BF3D91" w:rsidP="00BF3D91">
      <w:pPr>
        <w:spacing w:line="240" w:lineRule="auto"/>
        <w:jc w:val="both"/>
        <w:rPr>
          <w:rFonts w:ascii="Arial Narrow" w:hAnsi="Arial Narrow"/>
          <w:b/>
          <w:szCs w:val="24"/>
        </w:rPr>
      </w:pPr>
      <w:r w:rsidRPr="002D53A7">
        <w:rPr>
          <w:rFonts w:ascii="Arial Narrow" w:hAnsi="Arial Narrow"/>
          <w:b/>
          <w:szCs w:val="24"/>
        </w:rPr>
        <w:t>Nasze stanowisko:</w:t>
      </w:r>
    </w:p>
    <w:p w:rsidR="009C5142" w:rsidRPr="002D53A7" w:rsidRDefault="009C5142" w:rsidP="00BF3D91">
      <w:pPr>
        <w:spacing w:line="240" w:lineRule="auto"/>
        <w:jc w:val="both"/>
        <w:rPr>
          <w:rFonts w:ascii="Arial Narrow" w:hAnsi="Arial Narrow"/>
          <w:b/>
          <w:szCs w:val="24"/>
        </w:rPr>
      </w:pPr>
    </w:p>
    <w:p w:rsidR="00BF3D91" w:rsidRPr="002D53A7" w:rsidRDefault="00BF3D91" w:rsidP="00BF3D91">
      <w:pPr>
        <w:spacing w:line="240" w:lineRule="auto"/>
        <w:jc w:val="both"/>
        <w:rPr>
          <w:rFonts w:ascii="Arial Narrow" w:hAnsi="Arial Narrow"/>
          <w:szCs w:val="24"/>
        </w:rPr>
      </w:pPr>
      <w:r w:rsidRPr="002D53A7">
        <w:rPr>
          <w:rFonts w:ascii="Arial Narrow" w:hAnsi="Arial Narrow"/>
          <w:szCs w:val="24"/>
        </w:rPr>
        <w:t>Mamy nadzieję na przyjęcie jak największej liczby postulatów branży w procesie legislacyjnym</w:t>
      </w:r>
      <w:r w:rsidR="009F64F2" w:rsidRPr="002D53A7">
        <w:rPr>
          <w:rFonts w:ascii="Arial Narrow" w:hAnsi="Arial Narrow"/>
          <w:szCs w:val="24"/>
        </w:rPr>
        <w:t>.</w:t>
      </w:r>
      <w:r w:rsidRPr="002D53A7">
        <w:rPr>
          <w:rFonts w:ascii="Arial Narrow" w:hAnsi="Arial Narrow"/>
          <w:szCs w:val="24"/>
        </w:rPr>
        <w:t xml:space="preserve"> Liczymy na </w:t>
      </w:r>
      <w:r w:rsidR="000F528E" w:rsidRPr="002D53A7">
        <w:rPr>
          <w:rFonts w:ascii="Arial Narrow" w:hAnsi="Arial Narrow"/>
          <w:szCs w:val="24"/>
        </w:rPr>
        <w:t xml:space="preserve">kontynuację </w:t>
      </w:r>
      <w:r w:rsidRPr="002D53A7">
        <w:rPr>
          <w:rFonts w:ascii="Arial Narrow" w:hAnsi="Arial Narrow"/>
          <w:szCs w:val="24"/>
        </w:rPr>
        <w:t>konstruktywn</w:t>
      </w:r>
      <w:r w:rsidR="000F528E" w:rsidRPr="002D53A7">
        <w:rPr>
          <w:rFonts w:ascii="Arial Narrow" w:hAnsi="Arial Narrow"/>
          <w:szCs w:val="24"/>
        </w:rPr>
        <w:t>ego</w:t>
      </w:r>
      <w:r w:rsidRPr="002D53A7">
        <w:rPr>
          <w:rFonts w:ascii="Arial Narrow" w:hAnsi="Arial Narrow"/>
          <w:szCs w:val="24"/>
        </w:rPr>
        <w:t xml:space="preserve"> dialog</w:t>
      </w:r>
      <w:r w:rsidR="000F528E" w:rsidRPr="002D53A7">
        <w:rPr>
          <w:rFonts w:ascii="Arial Narrow" w:hAnsi="Arial Narrow"/>
          <w:szCs w:val="24"/>
        </w:rPr>
        <w:t xml:space="preserve">u administracji </w:t>
      </w:r>
      <w:r w:rsidR="001F64DC">
        <w:rPr>
          <w:rFonts w:ascii="Arial Narrow" w:hAnsi="Arial Narrow"/>
          <w:szCs w:val="24"/>
        </w:rPr>
        <w:t xml:space="preserve"> </w:t>
      </w:r>
      <w:r w:rsidR="000F528E" w:rsidRPr="002D53A7">
        <w:rPr>
          <w:rFonts w:ascii="Arial Narrow" w:hAnsi="Arial Narrow"/>
          <w:szCs w:val="24"/>
        </w:rPr>
        <w:t>z przemysłem</w:t>
      </w:r>
      <w:r w:rsidRPr="002D53A7">
        <w:rPr>
          <w:rFonts w:ascii="Arial Narrow" w:hAnsi="Arial Narrow"/>
          <w:szCs w:val="24"/>
        </w:rPr>
        <w:t>, dzięki któremu możliwe będzie przyjęcie rozwiązań akceptowanych przez obie strony, a nie powodujących spadku wpływów do budżetu.</w:t>
      </w:r>
    </w:p>
    <w:p w:rsidR="00443590" w:rsidRPr="002D53A7" w:rsidRDefault="00036E3D" w:rsidP="00443590">
      <w:pPr>
        <w:spacing w:line="240" w:lineRule="auto"/>
        <w:jc w:val="both"/>
        <w:rPr>
          <w:rFonts w:ascii="Arial Narrow" w:hAnsi="Arial Narrow"/>
          <w:szCs w:val="24"/>
        </w:rPr>
      </w:pPr>
      <w:r w:rsidRPr="002D53A7">
        <w:rPr>
          <w:rFonts w:ascii="Arial Narrow" w:hAnsi="Arial Narrow"/>
          <w:szCs w:val="24"/>
        </w:rPr>
        <w:t xml:space="preserve">W szczególności liczymy na </w:t>
      </w:r>
      <w:r w:rsidR="00443590" w:rsidRPr="002D53A7">
        <w:rPr>
          <w:rFonts w:ascii="Arial Narrow" w:hAnsi="Arial Narrow"/>
          <w:szCs w:val="24"/>
        </w:rPr>
        <w:t>zmiany w EMCS w zakresie jednostki referencyjnej w e</w:t>
      </w:r>
      <w:r w:rsidR="000019EE" w:rsidRPr="002D53A7">
        <w:rPr>
          <w:rFonts w:ascii="Arial Narrow" w:hAnsi="Arial Narrow"/>
          <w:szCs w:val="24"/>
        </w:rPr>
        <w:t>-</w:t>
      </w:r>
      <w:r w:rsidR="00443590" w:rsidRPr="002D53A7">
        <w:rPr>
          <w:rFonts w:ascii="Arial Narrow" w:hAnsi="Arial Narrow"/>
          <w:szCs w:val="24"/>
        </w:rPr>
        <w:t xml:space="preserve">AD w przypadku bioetanolu, podjęcie prac nad określeniem </w:t>
      </w:r>
      <w:r w:rsidRPr="002D53A7">
        <w:rPr>
          <w:rFonts w:ascii="Arial Narrow" w:hAnsi="Arial Narrow"/>
          <w:szCs w:val="24"/>
        </w:rPr>
        <w:t xml:space="preserve">w drodze rozporządzenia </w:t>
      </w:r>
      <w:r w:rsidR="00443590" w:rsidRPr="002D53A7">
        <w:rPr>
          <w:rFonts w:ascii="Arial Narrow" w:hAnsi="Arial Narrow"/>
          <w:szCs w:val="24"/>
        </w:rPr>
        <w:t>dopuszczalnych ubytków paliw ciekłych w sposób a</w:t>
      </w:r>
      <w:r w:rsidRPr="002D53A7">
        <w:rPr>
          <w:rFonts w:ascii="Arial Narrow" w:hAnsi="Arial Narrow"/>
          <w:szCs w:val="24"/>
        </w:rPr>
        <w:t>nalogiczny do wyrobów węglowych</w:t>
      </w:r>
      <w:r w:rsidR="00443590" w:rsidRPr="002D53A7">
        <w:rPr>
          <w:rFonts w:ascii="Arial Narrow" w:hAnsi="Arial Narrow"/>
          <w:szCs w:val="24"/>
        </w:rPr>
        <w:t xml:space="preserve">, wprowadzenie instytucji zezwoleń warunkowych, wprowadzenie instytucji promesy </w:t>
      </w:r>
      <w:r w:rsidRPr="002D53A7">
        <w:rPr>
          <w:rFonts w:ascii="Arial Narrow" w:hAnsi="Arial Narrow"/>
          <w:szCs w:val="24"/>
        </w:rPr>
        <w:t>(</w:t>
      </w:r>
      <w:r w:rsidR="00443590" w:rsidRPr="002D53A7">
        <w:rPr>
          <w:rFonts w:ascii="Arial Narrow" w:hAnsi="Arial Narrow"/>
          <w:szCs w:val="24"/>
        </w:rPr>
        <w:t>zobowiązani</w:t>
      </w:r>
      <w:r w:rsidRPr="002D53A7">
        <w:rPr>
          <w:rFonts w:ascii="Arial Narrow" w:hAnsi="Arial Narrow"/>
          <w:szCs w:val="24"/>
        </w:rPr>
        <w:t>a</w:t>
      </w:r>
      <w:r w:rsidR="00443590" w:rsidRPr="002D53A7">
        <w:rPr>
          <w:rFonts w:ascii="Arial Narrow" w:hAnsi="Arial Narrow"/>
          <w:szCs w:val="24"/>
        </w:rPr>
        <w:t xml:space="preserve"> organu podatkowego do wydania decyzji po dopełnieniu przez zainteresowany podmiot odpowiednich formalności</w:t>
      </w:r>
      <w:r w:rsidRPr="002D53A7">
        <w:rPr>
          <w:rFonts w:ascii="Arial Narrow" w:hAnsi="Arial Narrow"/>
          <w:szCs w:val="24"/>
        </w:rPr>
        <w:t>)</w:t>
      </w:r>
      <w:r w:rsidR="00443590" w:rsidRPr="002D53A7">
        <w:rPr>
          <w:rFonts w:ascii="Arial Narrow" w:hAnsi="Arial Narrow"/>
          <w:szCs w:val="24"/>
        </w:rPr>
        <w:t xml:space="preserve">. </w:t>
      </w:r>
      <w:r w:rsidR="000019EE" w:rsidRPr="002D53A7">
        <w:rPr>
          <w:rFonts w:ascii="Arial Narrow" w:hAnsi="Arial Narrow"/>
          <w:szCs w:val="24"/>
        </w:rPr>
        <w:t>Oczek</w:t>
      </w:r>
      <w:r w:rsidR="00B57F6A">
        <w:rPr>
          <w:rFonts w:ascii="Arial Narrow" w:hAnsi="Arial Narrow"/>
          <w:szCs w:val="24"/>
        </w:rPr>
        <w:t>ujemy konstruktywnego dialogu w </w:t>
      </w:r>
      <w:r w:rsidR="000019EE" w:rsidRPr="002D53A7">
        <w:rPr>
          <w:rFonts w:ascii="Arial Narrow" w:hAnsi="Arial Narrow"/>
          <w:szCs w:val="24"/>
        </w:rPr>
        <w:t xml:space="preserve">zakresie </w:t>
      </w:r>
      <w:r w:rsidR="00443590" w:rsidRPr="002D53A7">
        <w:rPr>
          <w:rFonts w:ascii="Arial Narrow" w:hAnsi="Arial Narrow"/>
          <w:szCs w:val="24"/>
        </w:rPr>
        <w:t>rozwiązań</w:t>
      </w:r>
      <w:r w:rsidR="000019EE" w:rsidRPr="002D53A7">
        <w:rPr>
          <w:rFonts w:ascii="Arial Narrow" w:hAnsi="Arial Narrow"/>
          <w:szCs w:val="24"/>
        </w:rPr>
        <w:t>,</w:t>
      </w:r>
      <w:r w:rsidR="00443590" w:rsidRPr="002D53A7">
        <w:rPr>
          <w:rFonts w:ascii="Arial Narrow" w:hAnsi="Arial Narrow"/>
          <w:szCs w:val="24"/>
        </w:rPr>
        <w:t xml:space="preserve"> poprawiających jakość prawa podatkowego.</w:t>
      </w:r>
    </w:p>
    <w:p w:rsidR="00443590" w:rsidRPr="002D53A7" w:rsidRDefault="00443590" w:rsidP="00BF3D91">
      <w:pPr>
        <w:spacing w:line="240" w:lineRule="auto"/>
        <w:jc w:val="both"/>
        <w:rPr>
          <w:rFonts w:ascii="Arial Narrow" w:hAnsi="Arial Narrow"/>
          <w:szCs w:val="24"/>
          <w:highlight w:val="yellow"/>
        </w:rPr>
      </w:pPr>
    </w:p>
    <w:p w:rsidR="00BF3D91" w:rsidRPr="002D53A7" w:rsidRDefault="00BF3D91" w:rsidP="001D24F1">
      <w:pPr>
        <w:pStyle w:val="Akapitzlist"/>
        <w:numPr>
          <w:ilvl w:val="0"/>
          <w:numId w:val="2"/>
        </w:numPr>
        <w:rPr>
          <w:rFonts w:ascii="Arial Narrow" w:hAnsi="Arial Narrow" w:cs="Arial"/>
          <w:b/>
          <w:sz w:val="24"/>
          <w:szCs w:val="24"/>
          <w:u w:val="single"/>
        </w:rPr>
      </w:pPr>
      <w:r w:rsidRPr="002D53A7">
        <w:rPr>
          <w:rFonts w:ascii="Arial Narrow" w:hAnsi="Arial Narrow" w:cs="Arial"/>
          <w:b/>
          <w:sz w:val="24"/>
          <w:szCs w:val="24"/>
          <w:u w:val="single"/>
        </w:rPr>
        <w:t xml:space="preserve">Oleje i smary: wprowadzenie jednolitej stawki „zero” podatku </w:t>
      </w:r>
      <w:r w:rsidR="001F64DC">
        <w:rPr>
          <w:rFonts w:ascii="Arial Narrow" w:hAnsi="Arial Narrow" w:cs="Arial"/>
          <w:b/>
          <w:sz w:val="24"/>
          <w:szCs w:val="24"/>
          <w:u w:val="single"/>
        </w:rPr>
        <w:t xml:space="preserve">akcyzowego </w:t>
      </w:r>
      <w:r w:rsidRPr="002D53A7">
        <w:rPr>
          <w:rFonts w:ascii="Arial Narrow" w:hAnsi="Arial Narrow" w:cs="Arial"/>
          <w:b/>
          <w:sz w:val="24"/>
          <w:szCs w:val="24"/>
          <w:u w:val="single"/>
        </w:rPr>
        <w:t>w Polsce i w całej UE</w:t>
      </w:r>
    </w:p>
    <w:p w:rsidR="000056EF" w:rsidRPr="002D53A7" w:rsidRDefault="000056EF" w:rsidP="002D53A7">
      <w:pPr>
        <w:rPr>
          <w:rFonts w:ascii="Arial Narrow" w:hAnsi="Arial Narrow" w:cs="Arial"/>
          <w:b/>
          <w:szCs w:val="24"/>
          <w:u w:val="single"/>
        </w:rPr>
      </w:pPr>
    </w:p>
    <w:p w:rsidR="00BF3D91" w:rsidRPr="002D53A7" w:rsidRDefault="00BF3D91" w:rsidP="00BF3D91">
      <w:pPr>
        <w:spacing w:line="240" w:lineRule="auto"/>
        <w:jc w:val="both"/>
        <w:rPr>
          <w:rFonts w:ascii="Arial Narrow" w:hAnsi="Arial Narrow"/>
          <w:szCs w:val="24"/>
        </w:rPr>
      </w:pPr>
      <w:r w:rsidRPr="002D53A7">
        <w:rPr>
          <w:rFonts w:ascii="Arial Narrow" w:hAnsi="Arial Narrow"/>
          <w:szCs w:val="24"/>
        </w:rPr>
        <w:t>Od lat branża zwraca uwagę na to, że u</w:t>
      </w:r>
      <w:r w:rsidRPr="002D53A7">
        <w:rPr>
          <w:rFonts w:ascii="Arial Narrow" w:hAnsi="Arial Narrow" w:cs="Arial"/>
          <w:szCs w:val="24"/>
        </w:rPr>
        <w:t xml:space="preserve">trzymywanie </w:t>
      </w:r>
      <w:r w:rsidR="00F54557" w:rsidRPr="002D53A7">
        <w:rPr>
          <w:rFonts w:ascii="Arial Narrow" w:hAnsi="Arial Narrow" w:cs="Arial"/>
          <w:szCs w:val="24"/>
        </w:rPr>
        <w:t xml:space="preserve">w Polsce </w:t>
      </w:r>
      <w:r w:rsidRPr="002D53A7">
        <w:rPr>
          <w:rFonts w:ascii="Arial Narrow" w:hAnsi="Arial Narrow" w:cs="Arial"/>
          <w:szCs w:val="24"/>
        </w:rPr>
        <w:t>akcyzy na oleje smarowe obniża konkurencyjność sektora, zarazem sprzyjając rozwojowi szarej strefy</w:t>
      </w:r>
      <w:r w:rsidR="00F54557" w:rsidRPr="002D53A7">
        <w:rPr>
          <w:rFonts w:ascii="Arial Narrow" w:hAnsi="Arial Narrow" w:cs="Arial"/>
          <w:szCs w:val="24"/>
        </w:rPr>
        <w:t xml:space="preserve"> w obrocie detalicznym i hurtowym olejami smarowymi</w:t>
      </w:r>
      <w:r w:rsidRPr="002D53A7">
        <w:rPr>
          <w:rFonts w:ascii="Arial Narrow" w:hAnsi="Arial Narrow" w:cs="Arial"/>
          <w:szCs w:val="24"/>
        </w:rPr>
        <w:t xml:space="preserve">. Akcyza zakłóca równość podmiotów wprowadzających oleje na rynek, zwiększając koszty funkcjonowania działających zgodnie z prawem przedsiębiorców, co przekłada się na spadek ich konkurencyjności i wyższe ceny produktów. </w:t>
      </w:r>
      <w:r w:rsidRPr="002D53A7">
        <w:rPr>
          <w:rFonts w:ascii="Arial Narrow" w:hAnsi="Arial Narrow"/>
          <w:szCs w:val="24"/>
        </w:rPr>
        <w:t>Ponadto, jeżeli akcyza i wszelkie z nią związane dodatkowe koszty nie występuj</w:t>
      </w:r>
      <w:r w:rsidR="00690B1B" w:rsidRPr="002D53A7">
        <w:rPr>
          <w:rFonts w:ascii="Arial Narrow" w:hAnsi="Arial Narrow"/>
          <w:szCs w:val="24"/>
        </w:rPr>
        <w:t>ą</w:t>
      </w:r>
      <w:r w:rsidRPr="002D53A7">
        <w:rPr>
          <w:rFonts w:ascii="Arial Narrow" w:hAnsi="Arial Narrow"/>
          <w:szCs w:val="24"/>
        </w:rPr>
        <w:t xml:space="preserve"> w innych krajach UE, to jej zastosowanie w Polsce stanowi formę dodatkowych </w:t>
      </w:r>
      <w:r w:rsidR="009F1AEA" w:rsidRPr="002D53A7">
        <w:rPr>
          <w:rFonts w:ascii="Arial Narrow" w:hAnsi="Arial Narrow"/>
          <w:szCs w:val="24"/>
        </w:rPr>
        <w:t xml:space="preserve">                                   </w:t>
      </w:r>
      <w:r w:rsidRPr="002D53A7">
        <w:rPr>
          <w:rFonts w:ascii="Arial Narrow" w:hAnsi="Arial Narrow"/>
          <w:szCs w:val="24"/>
        </w:rPr>
        <w:t>i nieuzasadnionych ograniczeń dla działających w kraju podmiotów oraz dla końcowych odbiorców tych produktów.</w:t>
      </w:r>
    </w:p>
    <w:p w:rsidR="00355FD4" w:rsidRPr="002D53A7" w:rsidRDefault="00AB476E" w:rsidP="00355FD4">
      <w:pPr>
        <w:spacing w:line="240" w:lineRule="auto"/>
        <w:jc w:val="both"/>
        <w:rPr>
          <w:rFonts w:ascii="Arial Narrow" w:hAnsi="Arial Narrow"/>
          <w:szCs w:val="24"/>
        </w:rPr>
      </w:pPr>
      <w:r w:rsidRPr="002D53A7">
        <w:rPr>
          <w:rFonts w:ascii="Arial Narrow" w:hAnsi="Arial Narrow"/>
          <w:szCs w:val="24"/>
        </w:rPr>
        <w:t>Zawieszenie</w:t>
      </w:r>
      <w:r w:rsidR="00355FD4" w:rsidRPr="002D53A7">
        <w:rPr>
          <w:rFonts w:ascii="Arial Narrow" w:hAnsi="Arial Narrow"/>
          <w:szCs w:val="24"/>
        </w:rPr>
        <w:t xml:space="preserve"> prac nad rewizją Dyrektywy Energetycznej  (ETD) oznacza, iż w najbliższym czasie utrzymane zostanie status quo jeśli chodzi o dowolność stosowania EMCS przez poszczególne kraje członkowskie Unii. Sytuację taką uznajemy za skrajnie niekorzystną dla polskiego rynku olejów smarowych: </w:t>
      </w:r>
      <w:r w:rsidR="00355FD4" w:rsidRPr="002D53A7">
        <w:rPr>
          <w:rFonts w:ascii="Arial Narrow" w:hAnsi="Arial Narrow"/>
          <w:szCs w:val="24"/>
        </w:rPr>
        <w:lastRenderedPageBreak/>
        <w:t>z jednej strony utrzymana zostanie dyskryminacja podmiotów prowadzących obrót olejami w Polsce, gdyż oleje smarowe nie są objęte akcyzą w większości krajów UE, co daje zn</w:t>
      </w:r>
      <w:r w:rsidR="00B57F6A">
        <w:rPr>
          <w:rFonts w:ascii="Arial Narrow" w:hAnsi="Arial Narrow"/>
          <w:szCs w:val="24"/>
        </w:rPr>
        <w:t>aczącą przewagę konkurencyjną i </w:t>
      </w:r>
      <w:r w:rsidR="00355FD4" w:rsidRPr="002D53A7">
        <w:rPr>
          <w:rFonts w:ascii="Arial Narrow" w:hAnsi="Arial Narrow"/>
          <w:szCs w:val="24"/>
        </w:rPr>
        <w:t>kosztową</w:t>
      </w:r>
      <w:r w:rsidR="00993FF4" w:rsidRPr="002D53A7">
        <w:rPr>
          <w:rFonts w:ascii="Arial Narrow" w:hAnsi="Arial Narrow"/>
          <w:szCs w:val="24"/>
        </w:rPr>
        <w:t xml:space="preserve"> podmiotom działającym poza Polską</w:t>
      </w:r>
      <w:r w:rsidR="00355FD4" w:rsidRPr="002D53A7">
        <w:rPr>
          <w:rFonts w:ascii="Arial Narrow" w:hAnsi="Arial Narrow"/>
          <w:szCs w:val="24"/>
        </w:rPr>
        <w:t>. Z drugiej strony</w:t>
      </w:r>
      <w:r w:rsidR="00993FF4" w:rsidRPr="002D53A7">
        <w:rPr>
          <w:rFonts w:ascii="Arial Narrow" w:hAnsi="Arial Narrow"/>
          <w:szCs w:val="24"/>
        </w:rPr>
        <w:t>,</w:t>
      </w:r>
      <w:r w:rsidR="00355FD4" w:rsidRPr="002D53A7">
        <w:rPr>
          <w:rFonts w:ascii="Arial Narrow" w:hAnsi="Arial Narrow"/>
          <w:szCs w:val="24"/>
        </w:rPr>
        <w:t xml:space="preserve"> pomimo </w:t>
      </w:r>
      <w:r w:rsidR="00993FF4" w:rsidRPr="002D53A7">
        <w:rPr>
          <w:rFonts w:ascii="Arial Narrow" w:hAnsi="Arial Narrow"/>
          <w:szCs w:val="24"/>
        </w:rPr>
        <w:t>dyskryminujących</w:t>
      </w:r>
      <w:r w:rsidR="00355FD4" w:rsidRPr="002D53A7">
        <w:rPr>
          <w:rFonts w:ascii="Arial Narrow" w:hAnsi="Arial Narrow"/>
          <w:szCs w:val="24"/>
        </w:rPr>
        <w:t xml:space="preserve"> obciążeń</w:t>
      </w:r>
      <w:r w:rsidRPr="002D53A7">
        <w:rPr>
          <w:rFonts w:ascii="Arial Narrow" w:hAnsi="Arial Narrow"/>
          <w:szCs w:val="24"/>
        </w:rPr>
        <w:t>,</w:t>
      </w:r>
      <w:r w:rsidR="00355FD4" w:rsidRPr="002D53A7">
        <w:rPr>
          <w:rFonts w:ascii="Arial Narrow" w:hAnsi="Arial Narrow"/>
          <w:szCs w:val="24"/>
        </w:rPr>
        <w:t xml:space="preserve"> </w:t>
      </w:r>
      <w:r w:rsidR="00993FF4" w:rsidRPr="002D53A7">
        <w:rPr>
          <w:rFonts w:ascii="Arial Narrow" w:hAnsi="Arial Narrow"/>
          <w:szCs w:val="24"/>
        </w:rPr>
        <w:t xml:space="preserve">krajowy </w:t>
      </w:r>
      <w:r w:rsidR="00355FD4" w:rsidRPr="002D53A7">
        <w:rPr>
          <w:rFonts w:ascii="Arial Narrow" w:hAnsi="Arial Narrow"/>
          <w:szCs w:val="24"/>
        </w:rPr>
        <w:t xml:space="preserve">rynek nie jest chroniony przed szarą strefą, gdyż np. EMCS sprawdza się  - co prawda – </w:t>
      </w:r>
      <w:r w:rsidR="00DE7E31" w:rsidRPr="002D53A7">
        <w:rPr>
          <w:rFonts w:ascii="Arial Narrow" w:hAnsi="Arial Narrow"/>
          <w:szCs w:val="24"/>
        </w:rPr>
        <w:t xml:space="preserve">               </w:t>
      </w:r>
      <w:r w:rsidR="00993FF4" w:rsidRPr="002D53A7">
        <w:rPr>
          <w:rFonts w:ascii="Arial Narrow" w:hAnsi="Arial Narrow"/>
          <w:szCs w:val="24"/>
        </w:rPr>
        <w:t xml:space="preserve">w kontrolowaniu obrotu olejami </w:t>
      </w:r>
      <w:r w:rsidR="00355FD4" w:rsidRPr="002D53A7">
        <w:rPr>
          <w:rFonts w:ascii="Arial Narrow" w:hAnsi="Arial Narrow"/>
          <w:szCs w:val="24"/>
        </w:rPr>
        <w:t xml:space="preserve">na terenie Polski, ale wystarczy </w:t>
      </w:r>
      <w:r w:rsidR="00993FF4" w:rsidRPr="002D53A7">
        <w:rPr>
          <w:rFonts w:ascii="Arial Narrow" w:hAnsi="Arial Narrow"/>
          <w:szCs w:val="24"/>
        </w:rPr>
        <w:t xml:space="preserve">tylko </w:t>
      </w:r>
      <w:r w:rsidR="00355FD4" w:rsidRPr="002D53A7">
        <w:rPr>
          <w:rFonts w:ascii="Arial Narrow" w:hAnsi="Arial Narrow"/>
          <w:szCs w:val="24"/>
        </w:rPr>
        <w:t xml:space="preserve">przemieścić produkty za granicę (faktycznie lub tylko „na papierze”), aby  </w:t>
      </w:r>
      <w:r w:rsidR="00993FF4" w:rsidRPr="002D53A7">
        <w:rPr>
          <w:rFonts w:ascii="Arial Narrow" w:hAnsi="Arial Narrow"/>
          <w:szCs w:val="24"/>
        </w:rPr>
        <w:t>kontrolę t</w:t>
      </w:r>
      <w:r w:rsidRPr="002D53A7">
        <w:rPr>
          <w:rFonts w:ascii="Arial Narrow" w:hAnsi="Arial Narrow"/>
          <w:szCs w:val="24"/>
        </w:rPr>
        <w:t>ę</w:t>
      </w:r>
      <w:r w:rsidR="00355FD4" w:rsidRPr="002D53A7">
        <w:rPr>
          <w:rFonts w:ascii="Arial Narrow" w:hAnsi="Arial Narrow"/>
          <w:szCs w:val="24"/>
        </w:rPr>
        <w:t xml:space="preserve"> utracić. </w:t>
      </w:r>
    </w:p>
    <w:p w:rsidR="009B5F47" w:rsidRPr="002D53A7" w:rsidRDefault="009B5F47" w:rsidP="00BF3D91">
      <w:pPr>
        <w:spacing w:line="240" w:lineRule="auto"/>
        <w:jc w:val="both"/>
        <w:rPr>
          <w:rFonts w:ascii="Arial Narrow" w:hAnsi="Arial Narrow"/>
          <w:b/>
          <w:szCs w:val="24"/>
        </w:rPr>
      </w:pPr>
    </w:p>
    <w:p w:rsidR="00BF3D91" w:rsidRDefault="00BF3D91" w:rsidP="00BF3D91">
      <w:pPr>
        <w:spacing w:line="240" w:lineRule="auto"/>
        <w:jc w:val="both"/>
        <w:rPr>
          <w:rFonts w:ascii="Arial Narrow" w:hAnsi="Arial Narrow"/>
          <w:b/>
          <w:szCs w:val="24"/>
        </w:rPr>
      </w:pPr>
      <w:r w:rsidRPr="002D53A7">
        <w:rPr>
          <w:rFonts w:ascii="Arial Narrow" w:hAnsi="Arial Narrow"/>
          <w:b/>
          <w:szCs w:val="24"/>
        </w:rPr>
        <w:t>Nasze stanowisko:</w:t>
      </w:r>
    </w:p>
    <w:p w:rsidR="009C5142" w:rsidRPr="002D53A7" w:rsidRDefault="009C5142" w:rsidP="00BF3D91">
      <w:pPr>
        <w:spacing w:line="240" w:lineRule="auto"/>
        <w:jc w:val="both"/>
        <w:rPr>
          <w:rFonts w:ascii="Arial Narrow" w:hAnsi="Arial Narrow"/>
          <w:b/>
          <w:szCs w:val="24"/>
        </w:rPr>
      </w:pPr>
    </w:p>
    <w:p w:rsidR="00BF3D91" w:rsidRPr="002D53A7" w:rsidRDefault="00BF3D91" w:rsidP="00BF3D91">
      <w:pPr>
        <w:spacing w:line="240" w:lineRule="auto"/>
        <w:jc w:val="both"/>
        <w:rPr>
          <w:rFonts w:ascii="Arial Narrow" w:hAnsi="Arial Narrow" w:cs="Tahoma"/>
          <w:szCs w:val="24"/>
        </w:rPr>
      </w:pPr>
      <w:r w:rsidRPr="002D53A7">
        <w:rPr>
          <w:rFonts w:ascii="Arial Narrow" w:hAnsi="Arial Narrow"/>
          <w:szCs w:val="24"/>
        </w:rPr>
        <w:t>Ujednolicenie stawki podatku akcyzowego na wszystkie rodzaje olejów smarowych</w:t>
      </w:r>
      <w:r w:rsidR="00C86905" w:rsidRPr="002D53A7">
        <w:rPr>
          <w:rFonts w:ascii="Arial Narrow" w:hAnsi="Arial Narrow"/>
          <w:szCs w:val="24"/>
        </w:rPr>
        <w:t xml:space="preserve"> </w:t>
      </w:r>
      <w:r w:rsidRPr="002D53A7">
        <w:rPr>
          <w:rFonts w:ascii="Arial Narrow" w:hAnsi="Arial Narrow"/>
          <w:szCs w:val="24"/>
        </w:rPr>
        <w:t xml:space="preserve">i bazowych w Polsce oznaczałoby znaczące ułatwienia w obrocie tymi produktami, zmniejszenie bariery wejścia na rynek dla nowych podmiotów oraz redukcję obciążenia finansowego firm członkowskich. </w:t>
      </w:r>
      <w:r w:rsidR="00993FF4" w:rsidRPr="002D53A7">
        <w:rPr>
          <w:rFonts w:ascii="Arial Narrow" w:hAnsi="Arial Narrow"/>
          <w:szCs w:val="24"/>
        </w:rPr>
        <w:t xml:space="preserve">Zarazem zachowana zostałaby obecna kontrola nad produktem, gdyż przy stawce „zero” </w:t>
      </w:r>
      <w:r w:rsidR="001417BB" w:rsidRPr="002D53A7">
        <w:rPr>
          <w:rFonts w:ascii="Arial Narrow" w:hAnsi="Arial Narrow"/>
          <w:szCs w:val="24"/>
        </w:rPr>
        <w:t xml:space="preserve">oleje smarowe nadal byłyby objęte </w:t>
      </w:r>
      <w:r w:rsidR="00993FF4" w:rsidRPr="002D53A7">
        <w:rPr>
          <w:rFonts w:ascii="Arial Narrow" w:hAnsi="Arial Narrow"/>
          <w:szCs w:val="24"/>
        </w:rPr>
        <w:t>EMCS</w:t>
      </w:r>
      <w:r w:rsidR="001417BB" w:rsidRPr="002D53A7">
        <w:rPr>
          <w:rFonts w:ascii="Arial Narrow" w:hAnsi="Arial Narrow"/>
          <w:szCs w:val="24"/>
        </w:rPr>
        <w:t>.</w:t>
      </w:r>
      <w:r w:rsidR="00993FF4" w:rsidRPr="002D53A7">
        <w:rPr>
          <w:rFonts w:ascii="Arial Narrow" w:hAnsi="Arial Narrow"/>
          <w:szCs w:val="24"/>
        </w:rPr>
        <w:t xml:space="preserve">. </w:t>
      </w:r>
      <w:r w:rsidRPr="002D53A7">
        <w:rPr>
          <w:rFonts w:ascii="Arial Narrow" w:hAnsi="Arial Narrow"/>
          <w:szCs w:val="24"/>
        </w:rPr>
        <w:t xml:space="preserve">Wprowadzenie stawki „zero” w całej UE oznaczałoby natomiast dodatkowo znaczną redukcję szarej strefy w obrocie olejami smarowymi i paliwami nie tylko w Polsce, lecz także krajach ościennych. </w:t>
      </w:r>
      <w:r w:rsidR="00646BD7" w:rsidRPr="002D53A7">
        <w:rPr>
          <w:rFonts w:ascii="Arial Narrow" w:hAnsi="Arial Narrow"/>
          <w:szCs w:val="24"/>
        </w:rPr>
        <w:t xml:space="preserve">Oceniamy, że byłoby to </w:t>
      </w:r>
      <w:r w:rsidRPr="002D53A7">
        <w:rPr>
          <w:rFonts w:ascii="Arial Narrow" w:hAnsi="Arial Narrow" w:cs="Tahoma"/>
          <w:szCs w:val="24"/>
        </w:rPr>
        <w:t>rozwi</w:t>
      </w:r>
      <w:r w:rsidR="00646BD7" w:rsidRPr="002D53A7">
        <w:rPr>
          <w:rFonts w:ascii="Arial Narrow" w:hAnsi="Arial Narrow" w:cs="Tahoma"/>
          <w:szCs w:val="24"/>
        </w:rPr>
        <w:t>ą</w:t>
      </w:r>
      <w:r w:rsidRPr="002D53A7">
        <w:rPr>
          <w:rFonts w:ascii="Arial Narrow" w:hAnsi="Arial Narrow" w:cs="Tahoma"/>
          <w:szCs w:val="24"/>
        </w:rPr>
        <w:t>zanie optymaln</w:t>
      </w:r>
      <w:r w:rsidR="00646BD7" w:rsidRPr="002D53A7">
        <w:rPr>
          <w:rFonts w:ascii="Arial Narrow" w:hAnsi="Arial Narrow" w:cs="Tahoma"/>
          <w:szCs w:val="24"/>
        </w:rPr>
        <w:t xml:space="preserve">e, </w:t>
      </w:r>
      <w:r w:rsidRPr="002D53A7">
        <w:rPr>
          <w:rFonts w:ascii="Arial Narrow" w:hAnsi="Arial Narrow" w:cs="Tahoma"/>
          <w:szCs w:val="24"/>
        </w:rPr>
        <w:t>łącząc</w:t>
      </w:r>
      <w:r w:rsidR="00646BD7" w:rsidRPr="002D53A7">
        <w:rPr>
          <w:rFonts w:ascii="Arial Narrow" w:hAnsi="Arial Narrow" w:cs="Tahoma"/>
          <w:szCs w:val="24"/>
        </w:rPr>
        <w:t>e</w:t>
      </w:r>
      <w:r w:rsidRPr="002D53A7">
        <w:rPr>
          <w:rFonts w:ascii="Arial Narrow" w:hAnsi="Arial Narrow" w:cs="Tahoma"/>
          <w:szCs w:val="24"/>
        </w:rPr>
        <w:t xml:space="preserve"> cele walki</w:t>
      </w:r>
      <w:r w:rsidR="00DE7E31" w:rsidRPr="002D53A7">
        <w:rPr>
          <w:rFonts w:ascii="Arial Narrow" w:hAnsi="Arial Narrow" w:cs="Tahoma"/>
          <w:szCs w:val="24"/>
        </w:rPr>
        <w:t xml:space="preserve"> </w:t>
      </w:r>
      <w:r w:rsidRPr="002D53A7">
        <w:rPr>
          <w:rFonts w:ascii="Arial Narrow" w:hAnsi="Arial Narrow" w:cs="Tahoma"/>
          <w:szCs w:val="24"/>
        </w:rPr>
        <w:t>z szarą strefą z minimalną inger</w:t>
      </w:r>
      <w:r w:rsidR="008D07BB" w:rsidRPr="002D53A7">
        <w:rPr>
          <w:rFonts w:ascii="Arial Narrow" w:hAnsi="Arial Narrow" w:cs="Tahoma"/>
          <w:szCs w:val="24"/>
        </w:rPr>
        <w:t xml:space="preserve">encją </w:t>
      </w:r>
      <w:r w:rsidR="00B57F6A">
        <w:rPr>
          <w:rFonts w:ascii="Arial Narrow" w:hAnsi="Arial Narrow" w:cs="Tahoma"/>
          <w:szCs w:val="24"/>
        </w:rPr>
        <w:t>w </w:t>
      </w:r>
      <w:r w:rsidRPr="002D53A7">
        <w:rPr>
          <w:rFonts w:ascii="Arial Narrow" w:hAnsi="Arial Narrow" w:cs="Tahoma"/>
          <w:szCs w:val="24"/>
        </w:rPr>
        <w:t>rynek i minimalnym obciążeniem podmiotów rynkowych.</w:t>
      </w:r>
    </w:p>
    <w:p w:rsidR="008342D3" w:rsidRPr="002D53A7" w:rsidRDefault="00993FF4" w:rsidP="00BF3D91">
      <w:pPr>
        <w:spacing w:line="240" w:lineRule="auto"/>
        <w:jc w:val="both"/>
        <w:rPr>
          <w:rFonts w:ascii="Arial Narrow" w:hAnsi="Arial Narrow" w:cs="Tahoma"/>
          <w:szCs w:val="24"/>
        </w:rPr>
      </w:pPr>
      <w:r w:rsidRPr="002D53A7">
        <w:rPr>
          <w:rFonts w:ascii="Arial Narrow" w:hAnsi="Arial Narrow" w:cs="Tahoma"/>
          <w:szCs w:val="24"/>
        </w:rPr>
        <w:t xml:space="preserve">Wszelkie projektowane rozwiązania powinny zarazem prowadzić do ujednolicenia </w:t>
      </w:r>
      <w:r w:rsidRPr="002D53A7">
        <w:rPr>
          <w:rFonts w:ascii="Arial Narrow" w:hAnsi="Arial Narrow" w:cs="Tahoma"/>
          <w:szCs w:val="24"/>
        </w:rPr>
        <w:br/>
        <w:t>i stworzenia równych zasad obrotu olejami w całej UE</w:t>
      </w:r>
      <w:r w:rsidR="008342D3" w:rsidRPr="002D53A7">
        <w:rPr>
          <w:rFonts w:ascii="Arial Narrow" w:hAnsi="Arial Narrow" w:cs="Tahoma"/>
          <w:szCs w:val="24"/>
        </w:rPr>
        <w:t xml:space="preserve"> (tzw. zasada </w:t>
      </w:r>
      <w:proofErr w:type="spellStart"/>
      <w:r w:rsidR="008342D3" w:rsidRPr="002D53A7">
        <w:rPr>
          <w:rFonts w:ascii="Arial Narrow" w:hAnsi="Arial Narrow" w:cs="Tahoma"/>
          <w:szCs w:val="24"/>
        </w:rPr>
        <w:t>level</w:t>
      </w:r>
      <w:proofErr w:type="spellEnd"/>
      <w:r w:rsidR="008342D3" w:rsidRPr="002D53A7">
        <w:rPr>
          <w:rFonts w:ascii="Arial Narrow" w:hAnsi="Arial Narrow" w:cs="Tahoma"/>
          <w:szCs w:val="24"/>
        </w:rPr>
        <w:t xml:space="preserve"> </w:t>
      </w:r>
      <w:proofErr w:type="spellStart"/>
      <w:r w:rsidR="008342D3" w:rsidRPr="002D53A7">
        <w:rPr>
          <w:rFonts w:ascii="Arial Narrow" w:hAnsi="Arial Narrow" w:cs="Tahoma"/>
          <w:szCs w:val="24"/>
        </w:rPr>
        <w:t>playing</w:t>
      </w:r>
      <w:proofErr w:type="spellEnd"/>
      <w:r w:rsidR="008342D3" w:rsidRPr="002D53A7">
        <w:rPr>
          <w:rFonts w:ascii="Arial Narrow" w:hAnsi="Arial Narrow" w:cs="Tahoma"/>
          <w:szCs w:val="24"/>
        </w:rPr>
        <w:t xml:space="preserve"> field)</w:t>
      </w:r>
      <w:r w:rsidRPr="002D53A7">
        <w:rPr>
          <w:rFonts w:ascii="Arial Narrow" w:hAnsi="Arial Narrow" w:cs="Tahoma"/>
          <w:szCs w:val="24"/>
        </w:rPr>
        <w:t xml:space="preserve">. Tylko takie podejście eliminuje problem szarej strefy w obrocie olejami w sposób fundamentalny – likwidując różnice cenowe będące podstawową zachętą i przyczyną dla rozwoju szarej strefy. </w:t>
      </w:r>
      <w:r w:rsidR="008342D3" w:rsidRPr="002D53A7">
        <w:rPr>
          <w:rFonts w:ascii="Arial Narrow" w:hAnsi="Arial Narrow" w:cs="Tahoma"/>
          <w:szCs w:val="24"/>
        </w:rPr>
        <w:t>Ujednolicanie i upraszczanie systemu podatkowego zarówno w skali kraju jak i całej UE jest zatem wartością samą w sobie.</w:t>
      </w:r>
    </w:p>
    <w:p w:rsidR="00BF3D91" w:rsidRPr="002D53A7" w:rsidRDefault="00BF3D91" w:rsidP="00BF3D91">
      <w:pPr>
        <w:spacing w:line="240" w:lineRule="auto"/>
        <w:jc w:val="both"/>
        <w:rPr>
          <w:rFonts w:ascii="Arial Narrow" w:hAnsi="Arial Narrow" w:cs="Tahoma"/>
          <w:szCs w:val="24"/>
        </w:rPr>
      </w:pPr>
    </w:p>
    <w:p w:rsidR="00855B98" w:rsidRPr="002D53A7" w:rsidRDefault="00855B98" w:rsidP="00BF3D91">
      <w:pPr>
        <w:spacing w:line="240" w:lineRule="auto"/>
        <w:jc w:val="both"/>
        <w:rPr>
          <w:rFonts w:ascii="Arial Narrow" w:hAnsi="Arial Narrow" w:cs="Tahoma"/>
          <w:szCs w:val="24"/>
        </w:rPr>
      </w:pPr>
    </w:p>
    <w:p w:rsidR="00BF3D91" w:rsidRDefault="00BF3D91" w:rsidP="007861AC">
      <w:pPr>
        <w:pStyle w:val="Akapitzlist"/>
        <w:numPr>
          <w:ilvl w:val="0"/>
          <w:numId w:val="2"/>
        </w:numPr>
        <w:rPr>
          <w:rFonts w:ascii="Arial Narrow" w:hAnsi="Arial Narrow" w:cs="Arial"/>
          <w:b/>
          <w:sz w:val="24"/>
          <w:szCs w:val="24"/>
          <w:u w:val="single"/>
        </w:rPr>
      </w:pPr>
      <w:r w:rsidRPr="002D53A7">
        <w:rPr>
          <w:rFonts w:ascii="Arial Narrow" w:hAnsi="Arial Narrow" w:cs="Arial"/>
          <w:b/>
          <w:sz w:val="24"/>
          <w:szCs w:val="24"/>
          <w:u w:val="single"/>
        </w:rPr>
        <w:t>Paliwa odnawialne</w:t>
      </w:r>
    </w:p>
    <w:p w:rsidR="009C5142" w:rsidRPr="002D53A7" w:rsidRDefault="009C5142" w:rsidP="009C5142">
      <w:pPr>
        <w:pStyle w:val="Akapitzlist"/>
        <w:rPr>
          <w:rFonts w:ascii="Arial Narrow" w:hAnsi="Arial Narrow" w:cs="Arial"/>
          <w:b/>
          <w:sz w:val="24"/>
          <w:szCs w:val="24"/>
          <w:u w:val="single"/>
        </w:rPr>
      </w:pPr>
    </w:p>
    <w:p w:rsidR="00BF3D91" w:rsidRPr="002D53A7" w:rsidRDefault="00BF3D91" w:rsidP="00BF3D91">
      <w:pPr>
        <w:spacing w:line="240" w:lineRule="auto"/>
        <w:jc w:val="both"/>
        <w:rPr>
          <w:rFonts w:ascii="Arial Narrow" w:hAnsi="Arial Narrow"/>
          <w:szCs w:val="24"/>
        </w:rPr>
      </w:pPr>
      <w:r w:rsidRPr="002D53A7">
        <w:rPr>
          <w:rFonts w:ascii="Arial Narrow" w:hAnsi="Arial Narrow"/>
          <w:szCs w:val="24"/>
        </w:rPr>
        <w:t xml:space="preserve">Po wielu latach </w:t>
      </w:r>
      <w:r w:rsidR="007861AC" w:rsidRPr="002D53A7">
        <w:rPr>
          <w:rFonts w:ascii="Arial Narrow" w:hAnsi="Arial Narrow"/>
          <w:szCs w:val="24"/>
        </w:rPr>
        <w:t xml:space="preserve">nastąpiło przyjęcie ustaw, </w:t>
      </w:r>
      <w:r w:rsidRPr="002D53A7">
        <w:rPr>
          <w:rFonts w:ascii="Arial Narrow" w:hAnsi="Arial Narrow"/>
          <w:szCs w:val="24"/>
        </w:rPr>
        <w:t>implementując</w:t>
      </w:r>
      <w:r w:rsidR="007861AC" w:rsidRPr="002D53A7">
        <w:rPr>
          <w:rFonts w:ascii="Arial Narrow" w:hAnsi="Arial Narrow"/>
          <w:szCs w:val="24"/>
        </w:rPr>
        <w:t>ych</w:t>
      </w:r>
      <w:r w:rsidRPr="002D53A7">
        <w:rPr>
          <w:rFonts w:ascii="Arial Narrow" w:hAnsi="Arial Narrow"/>
          <w:szCs w:val="24"/>
        </w:rPr>
        <w:t xml:space="preserve"> dyrektywy 2009/</w:t>
      </w:r>
      <w:r w:rsidR="00605404" w:rsidRPr="002D53A7">
        <w:rPr>
          <w:rFonts w:ascii="Arial Narrow" w:hAnsi="Arial Narrow"/>
          <w:szCs w:val="24"/>
        </w:rPr>
        <w:t>28/</w:t>
      </w:r>
      <w:r w:rsidRPr="002D53A7">
        <w:rPr>
          <w:rFonts w:ascii="Arial Narrow" w:hAnsi="Arial Narrow"/>
          <w:szCs w:val="24"/>
        </w:rPr>
        <w:t>WE praz 2009</w:t>
      </w:r>
      <w:r w:rsidR="00605404" w:rsidRPr="002D53A7">
        <w:rPr>
          <w:rFonts w:ascii="Arial Narrow" w:hAnsi="Arial Narrow"/>
          <w:szCs w:val="24"/>
        </w:rPr>
        <w:t>/30</w:t>
      </w:r>
      <w:r w:rsidRPr="002D53A7">
        <w:rPr>
          <w:rFonts w:ascii="Arial Narrow" w:hAnsi="Arial Narrow"/>
          <w:szCs w:val="24"/>
        </w:rPr>
        <w:t xml:space="preserve">/WE. </w:t>
      </w:r>
      <w:r w:rsidR="007861AC" w:rsidRPr="002D53A7">
        <w:rPr>
          <w:rFonts w:ascii="Arial Narrow" w:hAnsi="Arial Narrow" w:cs="Tahoma"/>
          <w:szCs w:val="24"/>
        </w:rPr>
        <w:t>Przyjęte w nowelizacjach ustawy o biopaliwach (</w:t>
      </w:r>
      <w:r w:rsidR="007861AC" w:rsidRPr="002D53A7">
        <w:rPr>
          <w:rFonts w:ascii="Arial Narrow" w:hAnsi="Arial Narrow" w:cs="Tahoma"/>
          <w:i/>
          <w:szCs w:val="24"/>
        </w:rPr>
        <w:t>ustawa z dnia 21 m</w:t>
      </w:r>
      <w:r w:rsidR="00B57F6A">
        <w:rPr>
          <w:rFonts w:ascii="Arial Narrow" w:hAnsi="Arial Narrow" w:cs="Tahoma"/>
          <w:i/>
          <w:szCs w:val="24"/>
        </w:rPr>
        <w:t>arca 2014 r. o zmianie ustawy o </w:t>
      </w:r>
      <w:r w:rsidR="007861AC" w:rsidRPr="002D53A7">
        <w:rPr>
          <w:rFonts w:ascii="Arial Narrow" w:hAnsi="Arial Narrow" w:cs="Tahoma"/>
          <w:i/>
          <w:szCs w:val="24"/>
        </w:rPr>
        <w:t>biokomponentach i biopaliwach ciekłych oraz niektórych innych ustaw</w:t>
      </w:r>
      <w:r w:rsidR="007861AC" w:rsidRPr="002D53A7">
        <w:rPr>
          <w:rFonts w:ascii="Arial Narrow" w:hAnsi="Arial Narrow" w:cs="Tahoma"/>
          <w:szCs w:val="24"/>
        </w:rPr>
        <w:t>) oraz ustawy o monitorowaniu jakości paliw (</w:t>
      </w:r>
      <w:r w:rsidR="007861AC" w:rsidRPr="002D53A7">
        <w:rPr>
          <w:rFonts w:ascii="Arial Narrow" w:hAnsi="Arial Narrow" w:cs="Tahoma"/>
          <w:i/>
          <w:szCs w:val="24"/>
        </w:rPr>
        <w:t>ustawa z dnia 11 lipca 2014 r. o zmianie ustawy o systemie monitorowania i kontrolowania jakości paliw oraz zmianie ustawy</w:t>
      </w:r>
      <w:r w:rsidR="00354E8F" w:rsidRPr="002D53A7">
        <w:rPr>
          <w:rFonts w:ascii="Arial Narrow" w:hAnsi="Arial Narrow" w:cs="Tahoma"/>
          <w:i/>
          <w:szCs w:val="24"/>
        </w:rPr>
        <w:t xml:space="preserve"> </w:t>
      </w:r>
      <w:r w:rsidR="007861AC" w:rsidRPr="002D53A7">
        <w:rPr>
          <w:rFonts w:ascii="Arial Narrow" w:hAnsi="Arial Narrow" w:cs="Tahoma"/>
          <w:i/>
          <w:szCs w:val="24"/>
        </w:rPr>
        <w:t xml:space="preserve">o biokomponentach i biopaliwach ciekłych) </w:t>
      </w:r>
      <w:r w:rsidR="007861AC" w:rsidRPr="002D53A7">
        <w:rPr>
          <w:rFonts w:ascii="Arial Narrow" w:hAnsi="Arial Narrow" w:cs="Tahoma"/>
          <w:szCs w:val="24"/>
        </w:rPr>
        <w:t>zapisy utrzymały generalnie dotychczasowe, niekorzystne rozwiązania dla branży.</w:t>
      </w:r>
      <w:r w:rsidR="00680A0D" w:rsidRPr="002D53A7">
        <w:rPr>
          <w:rFonts w:ascii="Arial Narrow" w:hAnsi="Arial Narrow" w:cs="Tahoma"/>
          <w:szCs w:val="24"/>
        </w:rPr>
        <w:t xml:space="preserve"> W debacie nad projektami nowych przepisów b</w:t>
      </w:r>
      <w:r w:rsidRPr="002D53A7">
        <w:rPr>
          <w:rFonts w:ascii="Arial Narrow" w:hAnsi="Arial Narrow" w:cs="Arial"/>
          <w:szCs w:val="24"/>
        </w:rPr>
        <w:t xml:space="preserve">ranża paliwowa wskazywała na konieczność przyjęcia zapisów umożliwiających jak najbardziej efektywną ekonomicznie realizację zapisów dyrektywy, w szczególności możliwość elastycznego określania Narodowego Celu Wskaźnikowego </w:t>
      </w:r>
      <w:r w:rsidR="007861AC" w:rsidRPr="002D53A7">
        <w:rPr>
          <w:rFonts w:ascii="Arial Narrow" w:hAnsi="Arial Narrow" w:cs="Arial"/>
          <w:szCs w:val="24"/>
        </w:rPr>
        <w:t xml:space="preserve">w </w:t>
      </w:r>
      <w:r w:rsidRPr="002D53A7">
        <w:rPr>
          <w:rFonts w:ascii="Arial Narrow" w:hAnsi="Arial Narrow" w:cs="Arial"/>
          <w:szCs w:val="24"/>
        </w:rPr>
        <w:t xml:space="preserve">zależności od warunków rynkowych, możliwość przenoszenia nadwyżek NCW na kolejny rok i handlu nimi, wreszcie możliwość realizacji NCW przy zastosowaniu nowoczesnych biopaliw, </w:t>
      </w:r>
      <w:r w:rsidR="00370228" w:rsidRPr="002D53A7">
        <w:rPr>
          <w:rFonts w:ascii="Arial Narrow" w:hAnsi="Arial Narrow" w:cs="Arial"/>
          <w:szCs w:val="24"/>
        </w:rPr>
        <w:t xml:space="preserve"> </w:t>
      </w:r>
      <w:r w:rsidRPr="002D53A7">
        <w:rPr>
          <w:rFonts w:ascii="Arial Narrow" w:hAnsi="Arial Narrow" w:cs="Arial"/>
          <w:szCs w:val="24"/>
        </w:rPr>
        <w:t xml:space="preserve">w tym </w:t>
      </w:r>
      <w:r w:rsidR="00370228" w:rsidRPr="002D53A7">
        <w:rPr>
          <w:rFonts w:ascii="Arial Narrow" w:hAnsi="Arial Narrow" w:cs="Arial"/>
          <w:szCs w:val="24"/>
        </w:rPr>
        <w:t>HVO (</w:t>
      </w:r>
      <w:proofErr w:type="spellStart"/>
      <w:r w:rsidR="00370228" w:rsidRPr="002D53A7">
        <w:rPr>
          <w:rFonts w:ascii="Arial Narrow" w:hAnsi="Arial Narrow" w:cs="Arial"/>
          <w:szCs w:val="24"/>
        </w:rPr>
        <w:t>współuwodorniony</w:t>
      </w:r>
      <w:proofErr w:type="spellEnd"/>
      <w:r w:rsidR="00370228" w:rsidRPr="002D53A7">
        <w:rPr>
          <w:rFonts w:ascii="Arial Narrow" w:hAnsi="Arial Narrow" w:cs="Arial"/>
          <w:szCs w:val="24"/>
        </w:rPr>
        <w:t xml:space="preserve"> olej roślinny), </w:t>
      </w:r>
      <w:r w:rsidRPr="002D53A7">
        <w:rPr>
          <w:rFonts w:ascii="Arial Narrow" w:hAnsi="Arial Narrow" w:cs="Arial"/>
          <w:szCs w:val="24"/>
        </w:rPr>
        <w:t>produkowan</w:t>
      </w:r>
      <w:r w:rsidR="00370228" w:rsidRPr="002D53A7">
        <w:rPr>
          <w:rFonts w:ascii="Arial Narrow" w:hAnsi="Arial Narrow" w:cs="Arial"/>
          <w:szCs w:val="24"/>
        </w:rPr>
        <w:t>ego</w:t>
      </w:r>
      <w:r w:rsidRPr="002D53A7">
        <w:rPr>
          <w:rFonts w:ascii="Arial Narrow" w:hAnsi="Arial Narrow" w:cs="Arial"/>
          <w:szCs w:val="24"/>
        </w:rPr>
        <w:t xml:space="preserve"> w technologii </w:t>
      </w:r>
      <w:proofErr w:type="spellStart"/>
      <w:r w:rsidRPr="002D53A7">
        <w:rPr>
          <w:rFonts w:ascii="Arial Narrow" w:hAnsi="Arial Narrow" w:cs="Arial"/>
          <w:szCs w:val="24"/>
        </w:rPr>
        <w:t>współuwodornienia</w:t>
      </w:r>
      <w:proofErr w:type="spellEnd"/>
      <w:r w:rsidRPr="002D53A7">
        <w:rPr>
          <w:rFonts w:ascii="Arial Narrow" w:hAnsi="Arial Narrow" w:cs="Arial"/>
          <w:szCs w:val="24"/>
        </w:rPr>
        <w:t xml:space="preserve">. </w:t>
      </w:r>
    </w:p>
    <w:p w:rsidR="007E4054" w:rsidRPr="002D53A7" w:rsidRDefault="00680A0D" w:rsidP="00680A0D">
      <w:pPr>
        <w:spacing w:line="240" w:lineRule="auto"/>
        <w:jc w:val="both"/>
        <w:rPr>
          <w:rFonts w:ascii="Arial Narrow" w:hAnsi="Arial Narrow"/>
          <w:szCs w:val="24"/>
        </w:rPr>
      </w:pPr>
      <w:r w:rsidRPr="002D53A7">
        <w:rPr>
          <w:rFonts w:ascii="Arial Narrow" w:hAnsi="Arial Narrow"/>
          <w:szCs w:val="24"/>
        </w:rPr>
        <w:t xml:space="preserve">Niestety, nasze postulaty zostały w zdecydowanej większości odrzucone. Co gorsza, przyjęto </w:t>
      </w:r>
      <w:r w:rsidR="00196A83" w:rsidRPr="002D53A7">
        <w:rPr>
          <w:rFonts w:ascii="Arial Narrow" w:hAnsi="Arial Narrow"/>
          <w:szCs w:val="24"/>
        </w:rPr>
        <w:t xml:space="preserve">takie definicje oleju napędowego oraz benzyny, które ograniczają możliwość stosowania nowoczesnych biokomponentów (w tym  </w:t>
      </w:r>
      <w:r w:rsidRPr="002D53A7">
        <w:rPr>
          <w:rFonts w:ascii="Arial Narrow" w:hAnsi="Arial Narrow"/>
          <w:szCs w:val="24"/>
        </w:rPr>
        <w:t>sprzeczn</w:t>
      </w:r>
      <w:r w:rsidR="00196A83" w:rsidRPr="002D53A7">
        <w:rPr>
          <w:rFonts w:ascii="Arial Narrow" w:hAnsi="Arial Narrow"/>
          <w:szCs w:val="24"/>
        </w:rPr>
        <w:t>ą</w:t>
      </w:r>
      <w:r w:rsidRPr="002D53A7">
        <w:rPr>
          <w:rFonts w:ascii="Arial Narrow" w:hAnsi="Arial Narrow"/>
          <w:szCs w:val="24"/>
        </w:rPr>
        <w:t xml:space="preserve"> z norm</w:t>
      </w:r>
      <w:r w:rsidR="00196A83" w:rsidRPr="002D53A7">
        <w:rPr>
          <w:rFonts w:ascii="Arial Narrow" w:hAnsi="Arial Narrow"/>
          <w:szCs w:val="24"/>
        </w:rPr>
        <w:t>ą</w:t>
      </w:r>
      <w:r w:rsidRPr="002D53A7">
        <w:rPr>
          <w:rFonts w:ascii="Arial Narrow" w:hAnsi="Arial Narrow"/>
          <w:szCs w:val="24"/>
        </w:rPr>
        <w:t xml:space="preserve"> E</w:t>
      </w:r>
      <w:r w:rsidR="000752E4" w:rsidRPr="002D53A7">
        <w:rPr>
          <w:rFonts w:ascii="Arial Narrow" w:hAnsi="Arial Narrow"/>
          <w:szCs w:val="24"/>
        </w:rPr>
        <w:t>N</w:t>
      </w:r>
      <w:r w:rsidRPr="002D53A7">
        <w:rPr>
          <w:rFonts w:ascii="Arial Narrow" w:hAnsi="Arial Narrow"/>
          <w:szCs w:val="24"/>
        </w:rPr>
        <w:t xml:space="preserve"> 590 definicj</w:t>
      </w:r>
      <w:r w:rsidR="00196A83" w:rsidRPr="002D53A7">
        <w:rPr>
          <w:rFonts w:ascii="Arial Narrow" w:hAnsi="Arial Narrow"/>
          <w:szCs w:val="24"/>
        </w:rPr>
        <w:t>ę</w:t>
      </w:r>
      <w:r w:rsidRPr="002D53A7">
        <w:rPr>
          <w:rFonts w:ascii="Arial Narrow" w:hAnsi="Arial Narrow"/>
          <w:szCs w:val="24"/>
        </w:rPr>
        <w:t xml:space="preserve"> </w:t>
      </w:r>
      <w:r w:rsidR="00196A83" w:rsidRPr="002D53A7">
        <w:rPr>
          <w:rFonts w:ascii="Arial Narrow" w:hAnsi="Arial Narrow"/>
          <w:szCs w:val="24"/>
        </w:rPr>
        <w:t xml:space="preserve">oleju napędowego). </w:t>
      </w:r>
      <w:r w:rsidRPr="002D53A7">
        <w:rPr>
          <w:rFonts w:ascii="Arial Narrow" w:hAnsi="Arial Narrow"/>
          <w:szCs w:val="24"/>
        </w:rPr>
        <w:t xml:space="preserve"> </w:t>
      </w:r>
      <w:r w:rsidR="00196A83" w:rsidRPr="002D53A7">
        <w:rPr>
          <w:rFonts w:ascii="Arial Narrow" w:hAnsi="Arial Narrow"/>
          <w:szCs w:val="24"/>
        </w:rPr>
        <w:t>S</w:t>
      </w:r>
      <w:r w:rsidRPr="002D53A7">
        <w:rPr>
          <w:rFonts w:ascii="Arial Narrow" w:hAnsi="Arial Narrow"/>
          <w:szCs w:val="24"/>
        </w:rPr>
        <w:t xml:space="preserve">tanowi </w:t>
      </w:r>
      <w:r w:rsidR="00196A83" w:rsidRPr="002D53A7">
        <w:rPr>
          <w:rFonts w:ascii="Arial Narrow" w:hAnsi="Arial Narrow"/>
          <w:szCs w:val="24"/>
        </w:rPr>
        <w:t xml:space="preserve">to </w:t>
      </w:r>
      <w:r w:rsidR="007E4054" w:rsidRPr="002D53A7">
        <w:rPr>
          <w:rFonts w:ascii="Arial Narrow" w:hAnsi="Arial Narrow"/>
          <w:szCs w:val="24"/>
        </w:rPr>
        <w:t>barierę dla nowych inwestycji  związanych z produkcją  biokomponentów nowej generacji</w:t>
      </w:r>
      <w:r w:rsidRPr="002D53A7">
        <w:rPr>
          <w:rFonts w:ascii="Arial Narrow" w:hAnsi="Arial Narrow"/>
          <w:szCs w:val="24"/>
        </w:rPr>
        <w:t xml:space="preserve"> oraz utrudnia realizację NCW</w:t>
      </w:r>
      <w:r w:rsidR="007E4054" w:rsidRPr="002D53A7">
        <w:rPr>
          <w:rFonts w:ascii="Arial Narrow" w:hAnsi="Arial Narrow"/>
          <w:szCs w:val="24"/>
        </w:rPr>
        <w:t xml:space="preserve">. </w:t>
      </w:r>
      <w:r w:rsidRPr="002D53A7">
        <w:rPr>
          <w:rFonts w:ascii="Arial Narrow" w:hAnsi="Arial Narrow"/>
          <w:szCs w:val="24"/>
        </w:rPr>
        <w:t xml:space="preserve">Kosztem branży paliwowej i milionów kierowców utrzymuje się rozwiązania, które ewidentnie chronią </w:t>
      </w:r>
      <w:r w:rsidR="007E4054" w:rsidRPr="002D53A7">
        <w:rPr>
          <w:rFonts w:ascii="Arial Narrow" w:hAnsi="Arial Narrow"/>
          <w:szCs w:val="24"/>
        </w:rPr>
        <w:t xml:space="preserve">interesy producentów FAME. </w:t>
      </w:r>
    </w:p>
    <w:p w:rsidR="001D2B92" w:rsidRPr="002D53A7" w:rsidRDefault="001D2B92" w:rsidP="001D2B92">
      <w:pPr>
        <w:spacing w:line="240" w:lineRule="auto"/>
        <w:jc w:val="both"/>
        <w:rPr>
          <w:rFonts w:ascii="Arial Narrow" w:hAnsi="Arial Narrow"/>
          <w:szCs w:val="24"/>
        </w:rPr>
      </w:pPr>
      <w:r w:rsidRPr="002D53A7">
        <w:rPr>
          <w:rFonts w:ascii="Arial Narrow" w:hAnsi="Arial Narrow" w:cs="Arial"/>
          <w:szCs w:val="24"/>
        </w:rPr>
        <w:t>Polityka  w zakresie biopaliw – w szczególności narzucenie bardzo wysokiego poziomu NCW – przekłada się bezpośrednio na wzrost cen paliw płynnych w Polsce. Dalsze promowanie stosowania biopaliw pierwszej generacji – w tym jako dodatku do paliw normatywnych - będzie powodować dalszy wzrost kosztów, a co za tym idzie cen detalicznych paliw oraz żywności</w:t>
      </w:r>
      <w:r w:rsidR="00370228" w:rsidRPr="002D53A7">
        <w:rPr>
          <w:rFonts w:ascii="Arial Narrow" w:hAnsi="Arial Narrow" w:cs="Arial"/>
          <w:szCs w:val="24"/>
        </w:rPr>
        <w:t xml:space="preserve">. </w:t>
      </w:r>
      <w:r w:rsidRPr="002D53A7">
        <w:rPr>
          <w:rFonts w:ascii="Arial Narrow" w:hAnsi="Arial Narrow" w:cs="Arial"/>
          <w:szCs w:val="24"/>
        </w:rPr>
        <w:t xml:space="preserve"> </w:t>
      </w:r>
    </w:p>
    <w:p w:rsidR="007E4054" w:rsidRPr="002D53A7" w:rsidRDefault="007E4054" w:rsidP="00BF3D91">
      <w:pPr>
        <w:spacing w:line="240" w:lineRule="auto"/>
        <w:jc w:val="both"/>
        <w:rPr>
          <w:rFonts w:ascii="Arial Narrow" w:hAnsi="Arial Narrow"/>
          <w:szCs w:val="24"/>
        </w:rPr>
      </w:pPr>
    </w:p>
    <w:p w:rsidR="00BF3D91" w:rsidRDefault="00BF3D91" w:rsidP="00BF3D91">
      <w:pPr>
        <w:spacing w:line="240" w:lineRule="auto"/>
        <w:jc w:val="both"/>
        <w:rPr>
          <w:rFonts w:ascii="Arial Narrow" w:hAnsi="Arial Narrow"/>
          <w:b/>
          <w:szCs w:val="24"/>
        </w:rPr>
      </w:pPr>
      <w:r w:rsidRPr="002D53A7">
        <w:rPr>
          <w:rFonts w:ascii="Arial Narrow" w:hAnsi="Arial Narrow"/>
          <w:b/>
          <w:szCs w:val="24"/>
        </w:rPr>
        <w:t>Nasze stanowisko:</w:t>
      </w:r>
    </w:p>
    <w:p w:rsidR="009C5142" w:rsidRPr="002D53A7" w:rsidRDefault="009C5142" w:rsidP="00BF3D91">
      <w:pPr>
        <w:spacing w:line="240" w:lineRule="auto"/>
        <w:jc w:val="both"/>
        <w:rPr>
          <w:rFonts w:ascii="Arial Narrow" w:hAnsi="Arial Narrow"/>
          <w:szCs w:val="24"/>
        </w:rPr>
      </w:pPr>
    </w:p>
    <w:p w:rsidR="001D2B92" w:rsidRPr="002D53A7" w:rsidRDefault="00370228" w:rsidP="00561702">
      <w:pPr>
        <w:spacing w:line="240" w:lineRule="auto"/>
        <w:jc w:val="both"/>
        <w:rPr>
          <w:rFonts w:ascii="Arial Narrow" w:hAnsi="Arial Narrow"/>
          <w:szCs w:val="24"/>
        </w:rPr>
      </w:pPr>
      <w:r w:rsidRPr="002D53A7">
        <w:rPr>
          <w:rFonts w:ascii="Arial Narrow" w:hAnsi="Arial Narrow"/>
          <w:szCs w:val="24"/>
        </w:rPr>
        <w:t xml:space="preserve">Biopaliwa pierwszej generacji są poważnym źródłem trudności, z jakimi boryka się branża w zakresie utrzymania parametrów jakościowych paliw. </w:t>
      </w:r>
      <w:r w:rsidR="00680A0D" w:rsidRPr="002D53A7">
        <w:rPr>
          <w:rFonts w:ascii="Arial Narrow" w:hAnsi="Arial Narrow"/>
          <w:szCs w:val="24"/>
        </w:rPr>
        <w:t>O</w:t>
      </w:r>
      <w:r w:rsidR="00BF3D91" w:rsidRPr="002D53A7">
        <w:rPr>
          <w:rFonts w:ascii="Arial Narrow" w:hAnsi="Arial Narrow"/>
          <w:szCs w:val="24"/>
        </w:rPr>
        <w:t xml:space="preserve">czekujemy podjęcia prac nad opracowaniem nowej, </w:t>
      </w:r>
      <w:r w:rsidR="00BF3D91" w:rsidRPr="002D53A7">
        <w:rPr>
          <w:rFonts w:ascii="Arial Narrow" w:hAnsi="Arial Narrow"/>
          <w:szCs w:val="24"/>
        </w:rPr>
        <w:lastRenderedPageBreak/>
        <w:t>kompleksowej ustawy</w:t>
      </w:r>
      <w:r w:rsidR="00561702" w:rsidRPr="002D53A7">
        <w:rPr>
          <w:rFonts w:ascii="Arial Narrow" w:hAnsi="Arial Narrow"/>
          <w:szCs w:val="24"/>
        </w:rPr>
        <w:t xml:space="preserve"> (w ramach istniejącego prawa lub też w postulowanym przez nas Prawie naftowym)</w:t>
      </w:r>
      <w:r w:rsidR="00BF3D91" w:rsidRPr="002D53A7">
        <w:rPr>
          <w:rFonts w:ascii="Arial Narrow" w:hAnsi="Arial Narrow"/>
          <w:szCs w:val="24"/>
        </w:rPr>
        <w:t xml:space="preserve">, odpowiadającej wymaganiom rynku, postulatom branży paliwowej oraz tendencjom, które wyraźnie zaczynają się zarysowywać w Unii Europejskiej. </w:t>
      </w:r>
    </w:p>
    <w:p w:rsidR="001D2B92" w:rsidRPr="002D53A7" w:rsidRDefault="001D2B92" w:rsidP="00561702">
      <w:pPr>
        <w:spacing w:line="240" w:lineRule="auto"/>
        <w:jc w:val="both"/>
        <w:rPr>
          <w:rFonts w:ascii="Arial Narrow" w:hAnsi="Arial Narrow"/>
          <w:szCs w:val="24"/>
        </w:rPr>
      </w:pPr>
      <w:r w:rsidRPr="002D53A7">
        <w:rPr>
          <w:rFonts w:ascii="Arial Narrow" w:hAnsi="Arial Narrow"/>
          <w:szCs w:val="24"/>
        </w:rPr>
        <w:t>Postulujemy następujące rozwiązania:</w:t>
      </w:r>
    </w:p>
    <w:p w:rsidR="00370228" w:rsidRPr="002D53A7" w:rsidRDefault="00370228"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Niezwłoczne dopuszczenie wdrażania biopaliw nowych generacji jako bardziej przyjaznych dla środowiska, a także eksploatacji pojazdów – w celu umożliwienia realizacji NCR w kolejnych latach;</w:t>
      </w:r>
    </w:p>
    <w:p w:rsidR="003073D0" w:rsidRPr="002D53A7" w:rsidRDefault="003073D0"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Zmianę definicji oleju napędowego oraz benzyny;</w:t>
      </w:r>
    </w:p>
    <w:p w:rsidR="001D2B92" w:rsidRPr="002D53A7" w:rsidRDefault="001D2B92"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Odejście od NCW i oparcie polityki wdrażania paliw odnawialnych wyłącznie na NCR;</w:t>
      </w:r>
    </w:p>
    <w:p w:rsidR="001D2B92" w:rsidRPr="002D53A7" w:rsidRDefault="001D2B92"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Przy założeniu pozostawienia obecnych rozwiązań</w:t>
      </w:r>
      <w:r w:rsidR="002327A5" w:rsidRPr="002D53A7">
        <w:rPr>
          <w:rFonts w:ascii="Arial Narrow" w:hAnsi="Arial Narrow"/>
          <w:sz w:val="24"/>
          <w:szCs w:val="24"/>
        </w:rPr>
        <w:t>:</w:t>
      </w:r>
      <w:r w:rsidRPr="002D53A7">
        <w:rPr>
          <w:rFonts w:ascii="Arial Narrow" w:hAnsi="Arial Narrow"/>
          <w:sz w:val="24"/>
          <w:szCs w:val="24"/>
        </w:rPr>
        <w:t xml:space="preserve"> wprowadzenie mechanizmów minimalizujących koszty związane z realizacją NCW i NCR, takich jak dwuletni okres rozliczeniowy NCW, handel nadwyżkami w realizacji NCW, obniżenie kar za brak realizacji NCW</w:t>
      </w:r>
      <w:r w:rsidR="003073D0" w:rsidRPr="002D53A7">
        <w:rPr>
          <w:rFonts w:ascii="Arial Narrow" w:hAnsi="Arial Narrow"/>
          <w:sz w:val="24"/>
          <w:szCs w:val="24"/>
        </w:rPr>
        <w:t>;</w:t>
      </w:r>
    </w:p>
    <w:p w:rsidR="00370228" w:rsidRPr="002D53A7" w:rsidRDefault="005951C8"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skrócenie okresu przejściowego w zakresie jednoczesnej dostępności na rynku benzyn E5 i E10</w:t>
      </w:r>
      <w:r w:rsidR="00370228" w:rsidRPr="002D53A7">
        <w:rPr>
          <w:rFonts w:ascii="Arial Narrow" w:hAnsi="Arial Narrow"/>
          <w:sz w:val="24"/>
          <w:szCs w:val="24"/>
        </w:rPr>
        <w:t>;</w:t>
      </w:r>
    </w:p>
    <w:p w:rsidR="005951C8" w:rsidRPr="002D53A7" w:rsidRDefault="00370228"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dobór właściwej metody badawczej parametru stabilności oksydacyjnej oleju napędowego;</w:t>
      </w:r>
    </w:p>
    <w:p w:rsidR="001D2B92" w:rsidRPr="002D53A7" w:rsidRDefault="001D2B92" w:rsidP="001D2B92">
      <w:pPr>
        <w:pStyle w:val="Akapitzlist"/>
        <w:widowControl/>
        <w:numPr>
          <w:ilvl w:val="0"/>
          <w:numId w:val="6"/>
        </w:numPr>
        <w:contextualSpacing w:val="0"/>
        <w:jc w:val="both"/>
        <w:rPr>
          <w:rFonts w:ascii="Arial Narrow" w:hAnsi="Arial Narrow"/>
          <w:sz w:val="24"/>
          <w:szCs w:val="24"/>
        </w:rPr>
      </w:pPr>
      <w:r w:rsidRPr="002D53A7">
        <w:rPr>
          <w:rFonts w:ascii="Arial Narrow" w:hAnsi="Arial Narrow"/>
          <w:sz w:val="24"/>
          <w:szCs w:val="24"/>
        </w:rPr>
        <w:t>uszczelnienie trybu zwrotu akcyzy od paliwa rolniczego poprzez wprowadzenie zasady, że zwrot może nastąpić tylko od paliwa, realnie</w:t>
      </w:r>
      <w:r w:rsidR="00446180">
        <w:rPr>
          <w:rFonts w:ascii="Arial Narrow" w:hAnsi="Arial Narrow"/>
          <w:sz w:val="24"/>
          <w:szCs w:val="24"/>
        </w:rPr>
        <w:t xml:space="preserve"> zawierającego biokomponenty.</w:t>
      </w:r>
    </w:p>
    <w:p w:rsidR="001D2B92" w:rsidRPr="002D53A7" w:rsidRDefault="001D2B92" w:rsidP="00561702">
      <w:pPr>
        <w:spacing w:line="240" w:lineRule="auto"/>
        <w:jc w:val="both"/>
        <w:rPr>
          <w:rFonts w:ascii="Arial Narrow" w:hAnsi="Arial Narrow"/>
          <w:szCs w:val="24"/>
        </w:rPr>
      </w:pPr>
    </w:p>
    <w:p w:rsidR="00BF3D91" w:rsidRPr="002D53A7" w:rsidRDefault="00BF3D91" w:rsidP="00BF3D91">
      <w:pPr>
        <w:spacing w:line="240" w:lineRule="auto"/>
        <w:jc w:val="both"/>
        <w:rPr>
          <w:rFonts w:ascii="Arial Narrow" w:hAnsi="Arial Narrow" w:cs="Arial"/>
          <w:szCs w:val="24"/>
        </w:rPr>
      </w:pPr>
      <w:r w:rsidRPr="002D53A7">
        <w:rPr>
          <w:rFonts w:ascii="Arial Narrow" w:hAnsi="Arial Narrow" w:cs="Arial"/>
          <w:szCs w:val="24"/>
        </w:rPr>
        <w:t>Przy ustalaniu programów promocji paliw odnawialnych – w tym biopaliw, kluczowe jest wzięcie pod uwagę skutków ekonomicznych przyjmowanych rozwiązań i ich wpływu na ostateczną cenę paliw, a także uwzględnienie najnowszych technologii produkcji biopaliw, akceptowanych przez producentów pojazdów</w:t>
      </w:r>
      <w:r w:rsidR="00370228" w:rsidRPr="002D53A7">
        <w:rPr>
          <w:rFonts w:ascii="Arial Narrow" w:hAnsi="Arial Narrow" w:cs="Arial"/>
          <w:szCs w:val="24"/>
        </w:rPr>
        <w:t xml:space="preserve">.  </w:t>
      </w:r>
      <w:r w:rsidR="00561702" w:rsidRPr="002D53A7">
        <w:rPr>
          <w:rFonts w:ascii="Arial Narrow" w:hAnsi="Arial Narrow" w:cs="Arial"/>
          <w:szCs w:val="24"/>
        </w:rPr>
        <w:t xml:space="preserve">Wprowadzenie zaawansowanych biopaliw – w tym w technologii </w:t>
      </w:r>
      <w:proofErr w:type="spellStart"/>
      <w:r w:rsidR="00561702" w:rsidRPr="002D53A7">
        <w:rPr>
          <w:rFonts w:ascii="Arial Narrow" w:hAnsi="Arial Narrow" w:cs="Arial"/>
          <w:szCs w:val="24"/>
        </w:rPr>
        <w:t>wsp</w:t>
      </w:r>
      <w:r w:rsidR="00B57F6A">
        <w:rPr>
          <w:rFonts w:ascii="Arial Narrow" w:hAnsi="Arial Narrow" w:cs="Arial"/>
          <w:szCs w:val="24"/>
        </w:rPr>
        <w:t>ółuwodornienia</w:t>
      </w:r>
      <w:proofErr w:type="spellEnd"/>
      <w:r w:rsidR="00B57F6A">
        <w:rPr>
          <w:rFonts w:ascii="Arial Narrow" w:hAnsi="Arial Narrow" w:cs="Arial"/>
          <w:szCs w:val="24"/>
        </w:rPr>
        <w:t xml:space="preserve"> – jest możliwe z </w:t>
      </w:r>
      <w:r w:rsidR="00561702" w:rsidRPr="002D53A7">
        <w:rPr>
          <w:rFonts w:ascii="Arial Narrow" w:hAnsi="Arial Narrow" w:cs="Arial"/>
          <w:szCs w:val="24"/>
        </w:rPr>
        <w:t>wykorzystaniem polskich surowców rolnych.</w:t>
      </w:r>
    </w:p>
    <w:p w:rsidR="009B5F47" w:rsidRPr="002D53A7" w:rsidRDefault="009B5F47" w:rsidP="00BF3D91">
      <w:pPr>
        <w:spacing w:line="240" w:lineRule="auto"/>
        <w:jc w:val="both"/>
        <w:rPr>
          <w:rFonts w:ascii="Arial Narrow" w:hAnsi="Arial Narrow" w:cs="Arial"/>
          <w:szCs w:val="24"/>
          <w:highlight w:val="yellow"/>
        </w:rPr>
      </w:pPr>
    </w:p>
    <w:p w:rsidR="004E1F86" w:rsidRDefault="00232811">
      <w:pPr>
        <w:pStyle w:val="Akapitzlist"/>
        <w:numPr>
          <w:ilvl w:val="0"/>
          <w:numId w:val="2"/>
        </w:numPr>
        <w:jc w:val="both"/>
        <w:rPr>
          <w:rFonts w:ascii="Arial Narrow" w:hAnsi="Arial Narrow" w:cs="Arial"/>
          <w:b/>
          <w:szCs w:val="24"/>
          <w:u w:val="single"/>
        </w:rPr>
      </w:pPr>
      <w:r w:rsidRPr="002D53A7">
        <w:rPr>
          <w:rFonts w:ascii="Arial Narrow" w:hAnsi="Arial Narrow" w:cs="Arial"/>
          <w:b/>
          <w:szCs w:val="24"/>
          <w:u w:val="single"/>
        </w:rPr>
        <w:t xml:space="preserve">Sprzedaż usług i towarów </w:t>
      </w:r>
      <w:proofErr w:type="spellStart"/>
      <w:r w:rsidRPr="002D53A7">
        <w:rPr>
          <w:rFonts w:ascii="Arial Narrow" w:hAnsi="Arial Narrow" w:cs="Arial"/>
          <w:b/>
          <w:szCs w:val="24"/>
          <w:u w:val="single"/>
        </w:rPr>
        <w:t>pozapaliwowych</w:t>
      </w:r>
      <w:proofErr w:type="spellEnd"/>
      <w:r w:rsidRPr="002D53A7">
        <w:rPr>
          <w:rFonts w:ascii="Arial Narrow" w:hAnsi="Arial Narrow" w:cs="Arial"/>
          <w:b/>
          <w:szCs w:val="24"/>
          <w:u w:val="single"/>
        </w:rPr>
        <w:t xml:space="preserve"> na stacjach paliw</w:t>
      </w:r>
    </w:p>
    <w:p w:rsidR="009C5142" w:rsidRPr="002D53A7" w:rsidRDefault="009C5142" w:rsidP="009C5142">
      <w:pPr>
        <w:pStyle w:val="Akapitzlist"/>
        <w:jc w:val="both"/>
        <w:rPr>
          <w:rFonts w:ascii="Arial Narrow" w:hAnsi="Arial Narrow" w:cs="Arial"/>
          <w:b/>
          <w:szCs w:val="24"/>
          <w:u w:val="single"/>
        </w:rPr>
      </w:pPr>
    </w:p>
    <w:p w:rsidR="00BF3D91" w:rsidRPr="002D53A7" w:rsidRDefault="00BF3D91" w:rsidP="00BF3D91">
      <w:pPr>
        <w:spacing w:line="240" w:lineRule="auto"/>
        <w:jc w:val="both"/>
        <w:rPr>
          <w:rFonts w:ascii="Arial Narrow" w:hAnsi="Arial Narrow" w:cs="Arial"/>
          <w:szCs w:val="24"/>
        </w:rPr>
      </w:pPr>
      <w:r w:rsidRPr="002D53A7">
        <w:rPr>
          <w:rFonts w:ascii="Arial Narrow" w:hAnsi="Arial Narrow" w:cs="Arial"/>
          <w:szCs w:val="24"/>
        </w:rPr>
        <w:t xml:space="preserve">W sytuacji </w:t>
      </w:r>
      <w:r w:rsidR="00360802" w:rsidRPr="002D53A7">
        <w:rPr>
          <w:rFonts w:ascii="Arial Narrow" w:hAnsi="Arial Narrow" w:cs="Arial"/>
          <w:szCs w:val="24"/>
        </w:rPr>
        <w:t xml:space="preserve">znacznych wahań </w:t>
      </w:r>
      <w:r w:rsidRPr="002D53A7">
        <w:rPr>
          <w:rFonts w:ascii="Arial Narrow" w:hAnsi="Arial Narrow" w:cs="Arial"/>
          <w:szCs w:val="24"/>
        </w:rPr>
        <w:t>marży wiele stacji paliw mo</w:t>
      </w:r>
      <w:r w:rsidR="00360802" w:rsidRPr="002D53A7">
        <w:rPr>
          <w:rFonts w:ascii="Arial Narrow" w:hAnsi="Arial Narrow" w:cs="Arial"/>
          <w:szCs w:val="24"/>
        </w:rPr>
        <w:t xml:space="preserve">że </w:t>
      </w:r>
      <w:r w:rsidRPr="002D53A7">
        <w:rPr>
          <w:rFonts w:ascii="Arial Narrow" w:hAnsi="Arial Narrow" w:cs="Arial"/>
          <w:szCs w:val="24"/>
        </w:rPr>
        <w:t xml:space="preserve">kontynuować działalność głównie dzięki sprzedaży towarów i usług </w:t>
      </w:r>
      <w:proofErr w:type="spellStart"/>
      <w:r w:rsidRPr="002D53A7">
        <w:rPr>
          <w:rFonts w:ascii="Arial Narrow" w:hAnsi="Arial Narrow" w:cs="Arial"/>
          <w:szCs w:val="24"/>
        </w:rPr>
        <w:t>pozapaliwowych</w:t>
      </w:r>
      <w:proofErr w:type="spellEnd"/>
      <w:r w:rsidRPr="002D53A7">
        <w:rPr>
          <w:rFonts w:ascii="Arial Narrow" w:hAnsi="Arial Narrow" w:cs="Arial"/>
          <w:szCs w:val="24"/>
        </w:rPr>
        <w:t xml:space="preserve">. </w:t>
      </w:r>
      <w:r w:rsidR="00FE022B" w:rsidRPr="002D53A7">
        <w:rPr>
          <w:rFonts w:ascii="Arial Narrow" w:hAnsi="Arial Narrow" w:cs="Arial"/>
          <w:szCs w:val="24"/>
        </w:rPr>
        <w:t>Należy pamiętać, że n</w:t>
      </w:r>
      <w:r w:rsidRPr="002D53A7">
        <w:rPr>
          <w:rFonts w:ascii="Arial Narrow" w:hAnsi="Arial Narrow" w:cs="Arial"/>
          <w:szCs w:val="24"/>
        </w:rPr>
        <w:t>a cenę paliw wpływają w dużym stopniu obciążenia o charakterze podatkowym i podobnym; średnio w roku 201</w:t>
      </w:r>
      <w:r w:rsidR="000752E4" w:rsidRPr="002D53A7">
        <w:rPr>
          <w:rFonts w:ascii="Arial Narrow" w:hAnsi="Arial Narrow" w:cs="Arial"/>
          <w:szCs w:val="24"/>
        </w:rPr>
        <w:t>4</w:t>
      </w:r>
      <w:r w:rsidRPr="002D53A7">
        <w:rPr>
          <w:rFonts w:ascii="Arial Narrow" w:hAnsi="Arial Narrow" w:cs="Arial"/>
          <w:szCs w:val="24"/>
        </w:rPr>
        <w:t xml:space="preserve"> stanowiły one </w:t>
      </w:r>
      <w:r w:rsidR="000752E4" w:rsidRPr="002D53A7">
        <w:rPr>
          <w:rFonts w:ascii="Arial Narrow" w:hAnsi="Arial Narrow" w:cs="Arial"/>
          <w:szCs w:val="24"/>
        </w:rPr>
        <w:t>51</w:t>
      </w:r>
      <w:r w:rsidR="00360802" w:rsidRPr="002D53A7">
        <w:rPr>
          <w:rFonts w:ascii="Arial Narrow" w:hAnsi="Arial Narrow" w:cs="Arial"/>
          <w:szCs w:val="24"/>
        </w:rPr>
        <w:t xml:space="preserve">% ceny benzyny 95,  </w:t>
      </w:r>
      <w:r w:rsidR="000752E4" w:rsidRPr="002D53A7">
        <w:rPr>
          <w:rFonts w:ascii="Arial Narrow" w:hAnsi="Arial Narrow" w:cs="Arial"/>
          <w:szCs w:val="24"/>
        </w:rPr>
        <w:t xml:space="preserve">47% </w:t>
      </w:r>
      <w:r w:rsidRPr="002D53A7">
        <w:rPr>
          <w:rFonts w:ascii="Arial Narrow" w:hAnsi="Arial Narrow" w:cs="Arial"/>
          <w:szCs w:val="24"/>
        </w:rPr>
        <w:t xml:space="preserve">ceny oleju napędowego i </w:t>
      </w:r>
      <w:r w:rsidR="00611502" w:rsidRPr="002D53A7">
        <w:rPr>
          <w:rFonts w:ascii="Arial Narrow" w:hAnsi="Arial Narrow" w:cs="Arial"/>
          <w:szCs w:val="24"/>
        </w:rPr>
        <w:t xml:space="preserve">37% </w:t>
      </w:r>
      <w:r w:rsidRPr="002D53A7">
        <w:rPr>
          <w:rFonts w:ascii="Arial Narrow" w:hAnsi="Arial Narrow" w:cs="Arial"/>
          <w:szCs w:val="24"/>
        </w:rPr>
        <w:t xml:space="preserve">ceny autogazu. </w:t>
      </w:r>
    </w:p>
    <w:p w:rsidR="00FE022B" w:rsidRPr="002D53A7" w:rsidRDefault="00FE022B" w:rsidP="00BF3D91">
      <w:pPr>
        <w:spacing w:line="240" w:lineRule="auto"/>
        <w:jc w:val="both"/>
        <w:rPr>
          <w:rFonts w:ascii="Arial Narrow" w:hAnsi="Arial Narrow" w:cs="Arial"/>
          <w:szCs w:val="24"/>
        </w:rPr>
      </w:pPr>
      <w:r w:rsidRPr="002D53A7">
        <w:rPr>
          <w:rFonts w:ascii="Arial Narrow" w:hAnsi="Arial Narrow" w:cs="Arial"/>
          <w:szCs w:val="24"/>
        </w:rPr>
        <w:t xml:space="preserve">Co jakiś czas pojawiają się propozycje ograniczenia asortymentu towarów oferowanych na stacjach paliw, na przykład wprowadzenie zakazu sprzedaży alkoholu czy też leków pierwszej potrzeby sprzedawanych bez recepty. Autorzy tych pomysłów kierują się własnymi odczuciami, nie mającymi pokrycia w faktach, bądź też własnym, wąsko rozumianym interesem ekonomicznym. </w:t>
      </w:r>
    </w:p>
    <w:p w:rsidR="00FE022B" w:rsidRPr="002D53A7" w:rsidRDefault="00FE022B" w:rsidP="00BF3D91">
      <w:pPr>
        <w:spacing w:line="240" w:lineRule="auto"/>
        <w:jc w:val="both"/>
        <w:rPr>
          <w:rFonts w:ascii="Arial Narrow" w:hAnsi="Arial Narrow" w:cs="Arial"/>
          <w:szCs w:val="24"/>
        </w:rPr>
      </w:pPr>
      <w:r w:rsidRPr="002D53A7">
        <w:rPr>
          <w:rFonts w:ascii="Arial Narrow" w:hAnsi="Arial Narrow" w:cs="Segoe UI"/>
          <w:szCs w:val="24"/>
        </w:rPr>
        <w:t xml:space="preserve">Badania rynkowe przeprowadzone w 2013 roku pokazały, że niewiele ponad 3% mocnych alkoholi kupowane jest przez klientów na stacjach paliw (z tendencją spadkową w stosunku do 2012). W przypadku </w:t>
      </w:r>
      <w:r w:rsidRPr="00B57F6A">
        <w:rPr>
          <w:rFonts w:ascii="Arial Narrow" w:hAnsi="Arial Narrow" w:cs="Segoe UI"/>
          <w:szCs w:val="24"/>
        </w:rPr>
        <w:t xml:space="preserve">piwa jest to niecałe 4%, również mniej niż w porównywalnym okresie roku 2012. </w:t>
      </w:r>
      <w:r w:rsidRPr="00B57F6A">
        <w:rPr>
          <w:rFonts w:ascii="Arial Narrow" w:hAnsi="Arial Narrow" w:cs="Arial"/>
          <w:szCs w:val="24"/>
        </w:rPr>
        <w:t>Ponadto, właśnie na stacjach paliw – ze względu na istniejące systemy monitoringu – istnieje najlepsza egzekucja przepisów, zabraniających sprzedaży alkoholu osobom nietrzeźwym i nieletni</w:t>
      </w:r>
      <w:r w:rsidR="001F64DC" w:rsidRPr="00B57F6A">
        <w:rPr>
          <w:rFonts w:ascii="Arial Narrow" w:hAnsi="Arial Narrow" w:cs="Arial"/>
          <w:szCs w:val="24"/>
        </w:rPr>
        <w:t xml:space="preserve">m. Doświadczenia tych państw, </w:t>
      </w:r>
      <w:r w:rsidR="001F64DC" w:rsidRPr="00B57F6A">
        <w:rPr>
          <w:rFonts w:ascii="Arial Narrow" w:hAnsi="Arial Narrow"/>
        </w:rPr>
        <w:t>w</w:t>
      </w:r>
      <w:r w:rsidR="00B57F6A">
        <w:rPr>
          <w:rFonts w:ascii="Arial Narrow" w:hAnsi="Arial Narrow"/>
        </w:rPr>
        <w:t> </w:t>
      </w:r>
      <w:r w:rsidRPr="00B57F6A">
        <w:rPr>
          <w:rFonts w:ascii="Arial Narrow" w:hAnsi="Arial Narrow"/>
        </w:rPr>
        <w:t>których</w:t>
      </w:r>
      <w:r w:rsidRPr="00B57F6A">
        <w:rPr>
          <w:rFonts w:ascii="Arial Narrow" w:hAnsi="Arial Narrow" w:cs="Arial"/>
          <w:szCs w:val="24"/>
        </w:rPr>
        <w:t xml:space="preserve"> wprowadzono całkowity lub częściowy zakaz sprzedaży alkoholu na stacjach paliw (Holandia, Belgia) wskazują na brak jakiejkolwiek zależności między dostępnością alkoholu na</w:t>
      </w:r>
      <w:r w:rsidRPr="002D53A7">
        <w:rPr>
          <w:rFonts w:ascii="Arial Narrow" w:hAnsi="Arial Narrow" w:cs="Arial"/>
          <w:szCs w:val="24"/>
        </w:rPr>
        <w:t xml:space="preserve"> stacjach, a liczbą nietrzeźwych kierowców. </w:t>
      </w:r>
    </w:p>
    <w:p w:rsidR="00FE022B" w:rsidRPr="002D53A7" w:rsidRDefault="00FE022B" w:rsidP="00BF3D91">
      <w:pPr>
        <w:spacing w:line="240" w:lineRule="auto"/>
        <w:jc w:val="both"/>
        <w:rPr>
          <w:rFonts w:ascii="Arial Narrow" w:hAnsi="Arial Narrow" w:cs="Arial"/>
          <w:szCs w:val="24"/>
        </w:rPr>
      </w:pPr>
      <w:r w:rsidRPr="002D53A7">
        <w:rPr>
          <w:rFonts w:ascii="Arial Narrow" w:hAnsi="Arial Narrow" w:cs="Arial"/>
          <w:szCs w:val="24"/>
        </w:rPr>
        <w:t xml:space="preserve">Stacja paliw jest też często najbliższym – a niekiedy jedynym – miejscem, w którym można nabyć oferowane bez recepty leki, np. leki przeciwbólowe czy też na ból gardła. Dzięki temu możliwe jest szybkie zareagowanie na ból czy też pierwsze symptomy przeziębienia. Leki przechowywane są w warunkach, nie odbiegających od warunków przechowywania w aptekach. </w:t>
      </w:r>
    </w:p>
    <w:p w:rsidR="00BF3D91" w:rsidRPr="002D53A7" w:rsidRDefault="00BF3D91" w:rsidP="00BF3D91">
      <w:pPr>
        <w:spacing w:line="240" w:lineRule="auto"/>
        <w:jc w:val="both"/>
        <w:rPr>
          <w:rFonts w:ascii="Arial Narrow" w:hAnsi="Arial Narrow" w:cs="Arial"/>
          <w:szCs w:val="24"/>
        </w:rPr>
      </w:pPr>
    </w:p>
    <w:p w:rsidR="00BF3D91" w:rsidRDefault="00BF3D91" w:rsidP="00BF3D91">
      <w:pPr>
        <w:spacing w:line="240" w:lineRule="auto"/>
        <w:jc w:val="both"/>
        <w:rPr>
          <w:rFonts w:ascii="Arial Narrow" w:hAnsi="Arial Narrow" w:cs="Arial"/>
          <w:b/>
          <w:szCs w:val="24"/>
        </w:rPr>
      </w:pPr>
      <w:r w:rsidRPr="002D53A7">
        <w:rPr>
          <w:rFonts w:ascii="Arial Narrow" w:hAnsi="Arial Narrow" w:cs="Arial"/>
          <w:b/>
          <w:szCs w:val="24"/>
        </w:rPr>
        <w:t>Nasze stanowisko:</w:t>
      </w:r>
    </w:p>
    <w:p w:rsidR="009C5142" w:rsidRPr="002D53A7" w:rsidRDefault="009C5142" w:rsidP="00BF3D91">
      <w:pPr>
        <w:spacing w:line="240" w:lineRule="auto"/>
        <w:jc w:val="both"/>
        <w:rPr>
          <w:rFonts w:ascii="Arial Narrow" w:hAnsi="Arial Narrow" w:cs="Arial"/>
          <w:b/>
          <w:szCs w:val="24"/>
        </w:rPr>
      </w:pPr>
    </w:p>
    <w:p w:rsidR="00BF3D91" w:rsidRPr="002D53A7" w:rsidRDefault="00BF3D91" w:rsidP="00BF3D91">
      <w:pPr>
        <w:spacing w:line="240" w:lineRule="auto"/>
        <w:jc w:val="both"/>
        <w:rPr>
          <w:rFonts w:ascii="Arial Narrow" w:hAnsi="Arial Narrow" w:cs="Arial"/>
          <w:szCs w:val="24"/>
        </w:rPr>
      </w:pPr>
      <w:r w:rsidRPr="002D53A7">
        <w:rPr>
          <w:rFonts w:ascii="Arial Narrow" w:hAnsi="Arial Narrow" w:cs="Arial"/>
          <w:szCs w:val="24"/>
        </w:rPr>
        <w:t xml:space="preserve">Oczekujemy, że ceny na rynku paliw będą kształtowane wyłącznie przez czynniki ekonomiczne, a przyjmowane regulacje prawne nie będą powodowały dalszego, nieuzasadnionego wzrostu cen. </w:t>
      </w:r>
      <w:r w:rsidR="00FE022B" w:rsidRPr="002D53A7">
        <w:rPr>
          <w:rFonts w:ascii="Arial Narrow" w:hAnsi="Arial Narrow" w:cs="Arial"/>
          <w:szCs w:val="24"/>
        </w:rPr>
        <w:t>Jesteśmy też przekonani, że przepisy w zakresie handlu alkoholem powinny być jednolite dla wszystkich kanałów dystrybucji, a podstawowe leki oferowane bez recepty powinny być dostępne również poza aptekami.</w:t>
      </w:r>
    </w:p>
    <w:p w:rsidR="008D07BB" w:rsidRPr="002D53A7" w:rsidRDefault="008D07BB" w:rsidP="00BF3D91">
      <w:pPr>
        <w:spacing w:line="240" w:lineRule="auto"/>
        <w:jc w:val="both"/>
        <w:rPr>
          <w:rFonts w:ascii="Arial Narrow" w:hAnsi="Arial Narrow" w:cs="Arial"/>
          <w:szCs w:val="24"/>
        </w:rPr>
      </w:pPr>
    </w:p>
    <w:p w:rsidR="00BF3D91" w:rsidRPr="002D53A7" w:rsidRDefault="00BF3D91" w:rsidP="00BF3D91">
      <w:pPr>
        <w:spacing w:line="240" w:lineRule="auto"/>
        <w:jc w:val="both"/>
        <w:rPr>
          <w:rFonts w:ascii="Arial Narrow" w:hAnsi="Arial Narrow" w:cs="Arial"/>
          <w:szCs w:val="24"/>
        </w:rPr>
      </w:pPr>
      <w:r w:rsidRPr="002D53A7">
        <w:rPr>
          <w:rFonts w:ascii="Arial Narrow" w:hAnsi="Arial Narrow" w:cs="Arial"/>
          <w:szCs w:val="24"/>
        </w:rPr>
        <w:lastRenderedPageBreak/>
        <w:t xml:space="preserve">Sprzeciwiamy się jakimkolwiek działaniom, mogącym spowodować ograniczenie zakresu świadczonych usług i sprzedawanych na stacjach towarów, np. poprzez zakaz sprzedaży alkoholu czy też leków pierwszej potrzeby. </w:t>
      </w:r>
      <w:r w:rsidRPr="002D53A7">
        <w:rPr>
          <w:rFonts w:ascii="Arial Narrow" w:hAnsi="Arial Narrow"/>
          <w:szCs w:val="24"/>
        </w:rPr>
        <w:t>Jedynym wymiernym skutkiem wprowadzenia proponowanych ograniczeń byłoby dalsze pogorszenie i tak już trudnej sytuacji branży naftowej. P</w:t>
      </w:r>
      <w:r w:rsidRPr="002D53A7">
        <w:rPr>
          <w:rFonts w:ascii="Arial Narrow" w:hAnsi="Arial Narrow" w:cs="Arial"/>
          <w:szCs w:val="24"/>
        </w:rPr>
        <w:t>rowadzenie sprzedaży towarów innych, niż paliwa umożliwia istnienie stacji paliw w obecnej ilości</w:t>
      </w:r>
      <w:r w:rsidR="008D07BB" w:rsidRPr="002D53A7">
        <w:rPr>
          <w:rFonts w:ascii="Arial Narrow" w:hAnsi="Arial Narrow" w:cs="Arial"/>
          <w:szCs w:val="24"/>
        </w:rPr>
        <w:t xml:space="preserve"> </w:t>
      </w:r>
      <w:r w:rsidRPr="002D53A7">
        <w:rPr>
          <w:rFonts w:ascii="Arial Narrow" w:hAnsi="Arial Narrow" w:cs="Arial"/>
          <w:szCs w:val="24"/>
        </w:rPr>
        <w:t xml:space="preserve">i w obecnym formacie rynkowym. </w:t>
      </w:r>
      <w:r w:rsidR="00DC0985" w:rsidRPr="002D53A7">
        <w:rPr>
          <w:rFonts w:ascii="Arial Narrow" w:hAnsi="Arial Narrow" w:cs="Arial"/>
          <w:szCs w:val="24"/>
        </w:rPr>
        <w:t xml:space="preserve">Ograniczenie asortymentu </w:t>
      </w:r>
      <w:r w:rsidRPr="002D53A7">
        <w:rPr>
          <w:rFonts w:ascii="Arial Narrow" w:hAnsi="Arial Narrow" w:cs="Arial"/>
          <w:szCs w:val="24"/>
        </w:rPr>
        <w:t>będzie skutkował</w:t>
      </w:r>
      <w:r w:rsidR="00DC0985" w:rsidRPr="002D53A7">
        <w:rPr>
          <w:rFonts w:ascii="Arial Narrow" w:hAnsi="Arial Narrow" w:cs="Arial"/>
          <w:szCs w:val="24"/>
        </w:rPr>
        <w:t>o</w:t>
      </w:r>
      <w:r w:rsidRPr="002D53A7">
        <w:rPr>
          <w:rFonts w:ascii="Arial Narrow" w:hAnsi="Arial Narrow" w:cs="Arial"/>
          <w:szCs w:val="24"/>
        </w:rPr>
        <w:t xml:space="preserve"> wzrostem kosztów ich prowadzenia i spowoduje wzrost cen paliw</w:t>
      </w:r>
      <w:r w:rsidR="00611502" w:rsidRPr="002D53A7">
        <w:rPr>
          <w:rFonts w:ascii="Arial Narrow" w:hAnsi="Arial Narrow" w:cs="Arial"/>
          <w:szCs w:val="24"/>
        </w:rPr>
        <w:t xml:space="preserve"> lub powiększenie grupy osób pozbawionych pracy. </w:t>
      </w:r>
    </w:p>
    <w:p w:rsidR="00FE022B" w:rsidRPr="002D53A7" w:rsidRDefault="00FE022B" w:rsidP="00BF3D91">
      <w:pPr>
        <w:spacing w:line="240" w:lineRule="auto"/>
        <w:jc w:val="both"/>
        <w:rPr>
          <w:rFonts w:ascii="Arial Narrow" w:hAnsi="Arial Narrow" w:cs="Arial"/>
          <w:szCs w:val="24"/>
        </w:rPr>
      </w:pPr>
    </w:p>
    <w:p w:rsidR="004E1F86" w:rsidRDefault="00CF4870">
      <w:pPr>
        <w:pStyle w:val="Akapitzlist"/>
        <w:numPr>
          <w:ilvl w:val="0"/>
          <w:numId w:val="2"/>
        </w:numPr>
        <w:jc w:val="both"/>
        <w:rPr>
          <w:rFonts w:ascii="Arial Narrow" w:hAnsi="Arial Narrow"/>
          <w:b/>
          <w:szCs w:val="24"/>
        </w:rPr>
      </w:pPr>
      <w:r w:rsidRPr="002D53A7">
        <w:rPr>
          <w:rFonts w:ascii="Arial Narrow" w:hAnsi="Arial Narrow"/>
          <w:b/>
          <w:szCs w:val="24"/>
        </w:rPr>
        <w:t xml:space="preserve">Bezpieczeństwo energetyczne w sektorze paliwowym i regulacja sektora naftowego: </w:t>
      </w:r>
    </w:p>
    <w:p w:rsidR="009C5142" w:rsidRPr="002D53A7" w:rsidRDefault="009C5142" w:rsidP="009C5142">
      <w:pPr>
        <w:pStyle w:val="Akapitzlist"/>
        <w:jc w:val="both"/>
        <w:rPr>
          <w:rFonts w:ascii="Arial Narrow" w:hAnsi="Arial Narrow"/>
          <w:b/>
          <w:szCs w:val="24"/>
        </w:rPr>
      </w:pPr>
    </w:p>
    <w:p w:rsidR="009F408C" w:rsidRDefault="00CF4870" w:rsidP="009F408C">
      <w:pPr>
        <w:spacing w:line="240" w:lineRule="auto"/>
        <w:jc w:val="both"/>
        <w:rPr>
          <w:rFonts w:ascii="Arial Narrow" w:hAnsi="Arial Narrow" w:cs="Arial"/>
          <w:szCs w:val="24"/>
        </w:rPr>
      </w:pPr>
      <w:r w:rsidRPr="002D53A7">
        <w:rPr>
          <w:rFonts w:ascii="Arial Narrow" w:hAnsi="Arial Narrow"/>
          <w:szCs w:val="24"/>
        </w:rPr>
        <w:t>Regulacje prawne, dotyczące sektora paliwowego, zawarte są w całym szeregu ustaw (</w:t>
      </w:r>
      <w:r w:rsidR="00FC6BDC" w:rsidRPr="002D53A7">
        <w:rPr>
          <w:rFonts w:ascii="Arial Narrow" w:hAnsi="Arial Narrow"/>
          <w:szCs w:val="24"/>
        </w:rPr>
        <w:t xml:space="preserve">ustawa </w:t>
      </w:r>
      <w:r w:rsidRPr="002D53A7">
        <w:rPr>
          <w:rFonts w:ascii="Arial Narrow" w:hAnsi="Arial Narrow"/>
          <w:szCs w:val="24"/>
        </w:rPr>
        <w:t>Prawo energetyczne, Ustawa o biopaliwach, Ustawa o systemi</w:t>
      </w:r>
      <w:r w:rsidR="00FC6BDC" w:rsidRPr="002D53A7">
        <w:rPr>
          <w:rFonts w:ascii="Arial Narrow" w:hAnsi="Arial Narrow"/>
          <w:szCs w:val="24"/>
        </w:rPr>
        <w:t>e monitorowania jakości paliw, u</w:t>
      </w:r>
      <w:r w:rsidRPr="002D53A7">
        <w:rPr>
          <w:rFonts w:ascii="Arial Narrow" w:hAnsi="Arial Narrow"/>
          <w:szCs w:val="24"/>
        </w:rPr>
        <w:t xml:space="preserve">stawa Prawo budowlane etc.) i rozporządzeń, często </w:t>
      </w:r>
      <w:r w:rsidR="00392BDD" w:rsidRPr="002D53A7">
        <w:rPr>
          <w:rFonts w:ascii="Arial Narrow" w:hAnsi="Arial Narrow"/>
          <w:szCs w:val="24"/>
        </w:rPr>
        <w:t>mając n</w:t>
      </w:r>
      <w:r w:rsidRPr="002D53A7">
        <w:rPr>
          <w:rFonts w:ascii="Arial Narrow" w:hAnsi="Arial Narrow"/>
          <w:szCs w:val="24"/>
        </w:rPr>
        <w:t xml:space="preserve">iespójny </w:t>
      </w:r>
      <w:r w:rsidR="00392BDD" w:rsidRPr="002D53A7">
        <w:rPr>
          <w:rFonts w:ascii="Arial Narrow" w:hAnsi="Arial Narrow"/>
          <w:szCs w:val="24"/>
        </w:rPr>
        <w:t>charakter</w:t>
      </w:r>
      <w:r w:rsidR="005A2F37" w:rsidRPr="002D53A7">
        <w:rPr>
          <w:rFonts w:ascii="Arial Narrow" w:hAnsi="Arial Narrow"/>
          <w:szCs w:val="24"/>
        </w:rPr>
        <w:t xml:space="preserve"> </w:t>
      </w:r>
      <w:r w:rsidRPr="002D53A7">
        <w:rPr>
          <w:rFonts w:ascii="Arial Narrow" w:hAnsi="Arial Narrow"/>
          <w:szCs w:val="24"/>
        </w:rPr>
        <w:t xml:space="preserve">czy nawet </w:t>
      </w:r>
      <w:r w:rsidR="005A2F37" w:rsidRPr="002D53A7">
        <w:rPr>
          <w:rFonts w:ascii="Arial Narrow" w:hAnsi="Arial Narrow"/>
          <w:szCs w:val="24"/>
        </w:rPr>
        <w:t xml:space="preserve">zawierając </w:t>
      </w:r>
      <w:r w:rsidRPr="002D53A7">
        <w:rPr>
          <w:rFonts w:ascii="Arial Narrow" w:hAnsi="Arial Narrow"/>
          <w:szCs w:val="24"/>
        </w:rPr>
        <w:t>sprzeczn</w:t>
      </w:r>
      <w:r w:rsidR="005A2F37" w:rsidRPr="002D53A7">
        <w:rPr>
          <w:rFonts w:ascii="Arial Narrow" w:hAnsi="Arial Narrow"/>
          <w:szCs w:val="24"/>
        </w:rPr>
        <w:t>e</w:t>
      </w:r>
      <w:r w:rsidRPr="002D53A7">
        <w:rPr>
          <w:rFonts w:ascii="Arial Narrow" w:hAnsi="Arial Narrow"/>
          <w:szCs w:val="24"/>
        </w:rPr>
        <w:t xml:space="preserve"> zapis</w:t>
      </w:r>
      <w:r w:rsidR="005A2F37" w:rsidRPr="002D53A7">
        <w:rPr>
          <w:rFonts w:ascii="Arial Narrow" w:hAnsi="Arial Narrow"/>
          <w:szCs w:val="24"/>
        </w:rPr>
        <w:t>y</w:t>
      </w:r>
      <w:r w:rsidRPr="002D53A7">
        <w:rPr>
          <w:rFonts w:ascii="Arial Narrow" w:hAnsi="Arial Narrow"/>
          <w:szCs w:val="24"/>
        </w:rPr>
        <w:t xml:space="preserve">. </w:t>
      </w:r>
      <w:r w:rsidR="00FC6BDC" w:rsidRPr="002D53A7">
        <w:rPr>
          <w:rFonts w:ascii="Arial Narrow" w:hAnsi="Arial Narrow" w:cs="Arial"/>
          <w:szCs w:val="24"/>
        </w:rPr>
        <w:t xml:space="preserve">Kolejne nowelizacje </w:t>
      </w:r>
      <w:r w:rsidR="00611502" w:rsidRPr="002D53A7">
        <w:rPr>
          <w:rFonts w:ascii="Arial Narrow" w:hAnsi="Arial Narrow" w:cs="Arial"/>
          <w:szCs w:val="24"/>
        </w:rPr>
        <w:t xml:space="preserve">prawa </w:t>
      </w:r>
      <w:r w:rsidR="00FC6BDC" w:rsidRPr="002D53A7">
        <w:rPr>
          <w:rFonts w:ascii="Arial Narrow" w:hAnsi="Arial Narrow" w:cs="Arial"/>
          <w:szCs w:val="24"/>
        </w:rPr>
        <w:t>doprowadziły do sytuacji, kiedy cały system ob</w:t>
      </w:r>
      <w:r w:rsidR="001F64DC">
        <w:rPr>
          <w:rFonts w:ascii="Arial Narrow" w:hAnsi="Arial Narrow" w:cs="Arial"/>
          <w:szCs w:val="24"/>
        </w:rPr>
        <w:t>ejmujący produkcję, logistykę i </w:t>
      </w:r>
      <w:r w:rsidR="00FC6BDC" w:rsidRPr="002D53A7">
        <w:rPr>
          <w:rFonts w:ascii="Arial Narrow" w:hAnsi="Arial Narrow" w:cs="Arial"/>
          <w:szCs w:val="24"/>
        </w:rPr>
        <w:t xml:space="preserve">obrót paliwami </w:t>
      </w:r>
      <w:r w:rsidR="00611502" w:rsidRPr="002D53A7">
        <w:rPr>
          <w:rFonts w:ascii="Arial Narrow" w:hAnsi="Arial Narrow" w:cs="Arial"/>
          <w:szCs w:val="24"/>
        </w:rPr>
        <w:t xml:space="preserve">ciekłymi </w:t>
      </w:r>
      <w:r w:rsidR="00FC6BDC" w:rsidRPr="002D53A7">
        <w:rPr>
          <w:rFonts w:ascii="Arial Narrow" w:hAnsi="Arial Narrow" w:cs="Arial"/>
          <w:szCs w:val="24"/>
        </w:rPr>
        <w:t xml:space="preserve">stał się niespójny,  a żaden resort nie ma kompleksowego nadzoru nad </w:t>
      </w:r>
      <w:r w:rsidR="00611502" w:rsidRPr="002D53A7">
        <w:rPr>
          <w:rFonts w:ascii="Arial Narrow" w:hAnsi="Arial Narrow" w:cs="Arial"/>
          <w:szCs w:val="24"/>
        </w:rPr>
        <w:t xml:space="preserve">tym </w:t>
      </w:r>
      <w:r w:rsidR="00FC6BDC" w:rsidRPr="002D53A7">
        <w:rPr>
          <w:rFonts w:ascii="Arial Narrow" w:hAnsi="Arial Narrow" w:cs="Arial"/>
          <w:szCs w:val="24"/>
        </w:rPr>
        <w:t>rynkiem. Regulacje przygotowywane przez poszczególne ministerstwa często ze sobą nie korelują, co utrudnia funkcjonowanie przedsiębiorstw operujących w branży, zwiększając związane z tym koszty</w:t>
      </w:r>
      <w:r w:rsidR="001F64DC">
        <w:rPr>
          <w:rFonts w:ascii="Arial Narrow" w:hAnsi="Arial Narrow" w:cs="Arial"/>
          <w:szCs w:val="24"/>
        </w:rPr>
        <w:t xml:space="preserve"> i </w:t>
      </w:r>
      <w:r w:rsidR="00611502" w:rsidRPr="002D53A7">
        <w:rPr>
          <w:rFonts w:ascii="Arial Narrow" w:hAnsi="Arial Narrow" w:cs="Arial"/>
          <w:szCs w:val="24"/>
        </w:rPr>
        <w:t>ryzyko popełnienia wykroczenia</w:t>
      </w:r>
      <w:r w:rsidR="00FC6BDC" w:rsidRPr="002D53A7">
        <w:rPr>
          <w:rFonts w:ascii="Arial Narrow" w:hAnsi="Arial Narrow" w:cs="Arial"/>
          <w:szCs w:val="24"/>
        </w:rPr>
        <w:t>. Mimo znaczącej poprawy intensywności dialogu administracji z branżą, wielokroć postulaty zgłaszane przez sektor paliwowy  w oparciu o przesłanki merytoryczne nie są uwzględnia</w:t>
      </w:r>
      <w:r w:rsidR="009F64F2" w:rsidRPr="002D53A7">
        <w:rPr>
          <w:rFonts w:ascii="Arial Narrow" w:hAnsi="Arial Narrow" w:cs="Arial"/>
          <w:szCs w:val="24"/>
        </w:rPr>
        <w:t>ne</w:t>
      </w:r>
      <w:r w:rsidR="00FC6BDC" w:rsidRPr="002D53A7">
        <w:rPr>
          <w:rFonts w:ascii="Arial Narrow" w:hAnsi="Arial Narrow" w:cs="Arial"/>
          <w:szCs w:val="24"/>
        </w:rPr>
        <w:t xml:space="preserve"> w procesie legislacyjnym – często ze względu na brak zrozumienia ich wpływu na zagadnienia, pozostające p</w:t>
      </w:r>
      <w:r w:rsidR="008F2E44" w:rsidRPr="002D53A7">
        <w:rPr>
          <w:rFonts w:ascii="Arial Narrow" w:hAnsi="Arial Narrow" w:cs="Arial"/>
          <w:szCs w:val="24"/>
        </w:rPr>
        <w:t>oza obszarem nadzoru danego urzę</w:t>
      </w:r>
      <w:r w:rsidR="00FC6BDC" w:rsidRPr="002D53A7">
        <w:rPr>
          <w:rFonts w:ascii="Arial Narrow" w:hAnsi="Arial Narrow" w:cs="Arial"/>
          <w:szCs w:val="24"/>
        </w:rPr>
        <w:t xml:space="preserve">du. Skutkiem tego jest przyjmowanie przepisów generujących olbrzymie koszty i nieuwzględniających sytuacji ekonomicznej w całej UE, zwłaszcza trudnej sytuacji branży rafineryjnej. Skutkuje to dalszym wzrostem cen paliw oraz pogorszeniem sytuacji przedsiębiorców, działających zgodnie z prawem. </w:t>
      </w:r>
    </w:p>
    <w:p w:rsidR="009C5142" w:rsidRPr="002D53A7" w:rsidRDefault="009C5142" w:rsidP="009F408C">
      <w:pPr>
        <w:spacing w:line="240" w:lineRule="auto"/>
        <w:jc w:val="both"/>
        <w:rPr>
          <w:rFonts w:ascii="Arial Narrow" w:hAnsi="Arial Narrow" w:cs="Arial"/>
          <w:szCs w:val="24"/>
        </w:rPr>
      </w:pPr>
    </w:p>
    <w:p w:rsidR="009F408C" w:rsidRDefault="009F408C" w:rsidP="009F408C">
      <w:pPr>
        <w:spacing w:line="240" w:lineRule="auto"/>
        <w:jc w:val="both"/>
        <w:rPr>
          <w:rFonts w:ascii="Arial Narrow" w:hAnsi="Arial Narrow" w:cs="Arial"/>
          <w:b/>
          <w:szCs w:val="24"/>
        </w:rPr>
      </w:pPr>
      <w:r w:rsidRPr="002D53A7">
        <w:rPr>
          <w:rFonts w:ascii="Arial Narrow" w:hAnsi="Arial Narrow" w:cs="Arial"/>
          <w:b/>
          <w:szCs w:val="24"/>
        </w:rPr>
        <w:t>Nasze stanowisko:</w:t>
      </w:r>
    </w:p>
    <w:p w:rsidR="009C5142" w:rsidRPr="002D53A7" w:rsidRDefault="009C5142" w:rsidP="009F408C">
      <w:pPr>
        <w:spacing w:line="240" w:lineRule="auto"/>
        <w:jc w:val="both"/>
        <w:rPr>
          <w:rFonts w:ascii="Arial Narrow" w:hAnsi="Arial Narrow" w:cs="Arial"/>
          <w:b/>
          <w:szCs w:val="24"/>
        </w:rPr>
      </w:pPr>
    </w:p>
    <w:p w:rsidR="00846F66" w:rsidRPr="002D53A7" w:rsidRDefault="00EE3356" w:rsidP="006B0DCB">
      <w:pPr>
        <w:spacing w:line="240" w:lineRule="auto"/>
        <w:jc w:val="both"/>
        <w:rPr>
          <w:rFonts w:ascii="Arial Narrow" w:hAnsi="Arial Narrow"/>
          <w:sz w:val="22"/>
        </w:rPr>
      </w:pPr>
      <w:r w:rsidRPr="002D53A7">
        <w:rPr>
          <w:rFonts w:ascii="Arial Narrow" w:hAnsi="Arial Narrow"/>
          <w:szCs w:val="24"/>
        </w:rPr>
        <w:t xml:space="preserve">Należy dążyć do zmiany stanu rzeczy poprzez wprowadzenie uproszczeń w systemie prawa. </w:t>
      </w:r>
      <w:r w:rsidR="009F408C" w:rsidRPr="002D53A7">
        <w:rPr>
          <w:rFonts w:ascii="Arial Narrow" w:hAnsi="Arial Narrow"/>
          <w:szCs w:val="24"/>
        </w:rPr>
        <w:t xml:space="preserve">Jako rozwiązanie docelowe branża postuluje opracowanie </w:t>
      </w:r>
      <w:r w:rsidR="009F408C" w:rsidRPr="002D53A7">
        <w:rPr>
          <w:rFonts w:ascii="Arial Narrow" w:hAnsi="Arial Narrow"/>
          <w:b/>
          <w:szCs w:val="24"/>
        </w:rPr>
        <w:t>Prawa naftowego</w:t>
      </w:r>
      <w:r w:rsidR="009F408C" w:rsidRPr="002D53A7">
        <w:rPr>
          <w:rFonts w:ascii="Arial Narrow" w:hAnsi="Arial Narrow"/>
          <w:szCs w:val="24"/>
        </w:rPr>
        <w:t xml:space="preserve"> </w:t>
      </w:r>
      <w:r w:rsidR="001F64DC">
        <w:rPr>
          <w:rFonts w:ascii="Arial Narrow" w:hAnsi="Arial Narrow"/>
          <w:szCs w:val="24"/>
        </w:rPr>
        <w:t>na wzór Prawa energetycznego, w </w:t>
      </w:r>
      <w:r w:rsidR="009F408C" w:rsidRPr="002D53A7">
        <w:rPr>
          <w:rFonts w:ascii="Arial Narrow" w:hAnsi="Arial Narrow"/>
          <w:szCs w:val="24"/>
        </w:rPr>
        <w:t>którym zawarto by wszystkie akty prawne dotyczące przemysłu naftowego,</w:t>
      </w:r>
      <w:r w:rsidR="009F64F2" w:rsidRPr="002D53A7">
        <w:rPr>
          <w:rFonts w:ascii="Arial Narrow" w:hAnsi="Arial Narrow"/>
          <w:szCs w:val="24"/>
        </w:rPr>
        <w:t xml:space="preserve"> </w:t>
      </w:r>
      <w:r w:rsidR="00846F66" w:rsidRPr="002D53A7">
        <w:rPr>
          <w:rFonts w:ascii="Arial Narrow" w:hAnsi="Arial Narrow"/>
        </w:rPr>
        <w:t xml:space="preserve">w tym dotyczące kwestii, koncesjonowania paliw ciekłych, stworzenia powszechnie dostępnego rejestru podmiotów i infrastruktury paliwowej w Polsce,  systemu jakości paliw, biopaliw, zapasów obowiązkowych, wymagań technicznych oraz innych. </w:t>
      </w:r>
    </w:p>
    <w:p w:rsidR="00846F66" w:rsidRPr="002D53A7" w:rsidRDefault="00846F66" w:rsidP="006B0DCB">
      <w:pPr>
        <w:spacing w:line="240" w:lineRule="auto"/>
        <w:jc w:val="both"/>
        <w:rPr>
          <w:rFonts w:ascii="Arial Narrow" w:hAnsi="Arial Narrow"/>
        </w:rPr>
      </w:pPr>
      <w:r w:rsidRPr="002D53A7">
        <w:rPr>
          <w:rFonts w:ascii="Arial Narrow" w:hAnsi="Arial Narrow"/>
        </w:rPr>
        <w:t xml:space="preserve">Nasze postulaty powinny zostać uwzględnione w planie prac rządu (lub w Programie wykonawczym na lata 2015-2020 do Polityki energetycznej Polski do roku 2050). Jednym z elementów powinno być powołanie wydzielonego regulatora branży paliwowej, a co za tym idzie zmiana systemu nadzoru i kontroli nad rynkiem paliwowym. </w:t>
      </w:r>
    </w:p>
    <w:p w:rsidR="009F408C" w:rsidRPr="002D53A7" w:rsidRDefault="00846F66">
      <w:pPr>
        <w:spacing w:line="240" w:lineRule="auto"/>
        <w:jc w:val="both"/>
        <w:rPr>
          <w:rFonts w:ascii="Arial Narrow" w:hAnsi="Arial Narrow" w:cs="Arial"/>
          <w:szCs w:val="24"/>
        </w:rPr>
      </w:pPr>
      <w:r w:rsidRPr="002D53A7">
        <w:rPr>
          <w:rFonts w:ascii="Arial Narrow" w:hAnsi="Arial Narrow"/>
        </w:rPr>
        <w:t xml:space="preserve">Ponownie postulujemy  o  </w:t>
      </w:r>
      <w:r w:rsidR="009F408C" w:rsidRPr="002D53A7">
        <w:rPr>
          <w:rFonts w:ascii="Arial Narrow" w:hAnsi="Arial Narrow" w:cs="Arial"/>
          <w:szCs w:val="24"/>
        </w:rPr>
        <w:t>zorganizowanie pod patronatem premiera rządu RP międzyresortowego okrągłego stołu</w:t>
      </w:r>
      <w:r w:rsidR="00042D8F" w:rsidRPr="002D53A7">
        <w:rPr>
          <w:rFonts w:ascii="Arial Narrow" w:hAnsi="Arial Narrow" w:cs="Arial"/>
          <w:szCs w:val="24"/>
        </w:rPr>
        <w:t xml:space="preserve"> paliwowego </w:t>
      </w:r>
      <w:r w:rsidR="009F408C" w:rsidRPr="002D53A7">
        <w:rPr>
          <w:rFonts w:ascii="Arial Narrow" w:hAnsi="Arial Narrow" w:cs="Arial"/>
          <w:szCs w:val="24"/>
        </w:rPr>
        <w:t>z udziałem przedstawicieli Sejmu, adminis</w:t>
      </w:r>
      <w:r w:rsidR="001F64DC">
        <w:rPr>
          <w:rFonts w:ascii="Arial Narrow" w:hAnsi="Arial Narrow" w:cs="Arial"/>
          <w:szCs w:val="24"/>
        </w:rPr>
        <w:t>tracji, reprezentantów branży i </w:t>
      </w:r>
      <w:r w:rsidR="009F408C" w:rsidRPr="002D53A7">
        <w:rPr>
          <w:rFonts w:ascii="Arial Narrow" w:hAnsi="Arial Narrow" w:cs="Arial"/>
          <w:szCs w:val="24"/>
        </w:rPr>
        <w:t>ekspertów. Pozwoliłoby to na jasne określenie wzajemnych oczekiwań i wymagań, a w konsekwencji stanowienie lepszego prawa i poprawę konkurencyjności polskiej gospodarki. Liczymy na kontynuację debaty</w:t>
      </w:r>
      <w:r w:rsidR="00202278" w:rsidRPr="002D53A7">
        <w:rPr>
          <w:rFonts w:ascii="Arial Narrow" w:hAnsi="Arial Narrow" w:cs="Arial"/>
          <w:szCs w:val="24"/>
        </w:rPr>
        <w:t xml:space="preserve"> w formule okrągłego stołu</w:t>
      </w:r>
      <w:r w:rsidR="009F408C" w:rsidRPr="002D53A7">
        <w:rPr>
          <w:rFonts w:ascii="Arial Narrow" w:hAnsi="Arial Narrow" w:cs="Arial"/>
          <w:szCs w:val="24"/>
        </w:rPr>
        <w:t xml:space="preserve"> rozpoczętej przez Ministerstwo Gospodarki w 2012 roku.</w:t>
      </w:r>
    </w:p>
    <w:p w:rsidR="00FC6BDC" w:rsidRPr="002D53A7" w:rsidRDefault="00FC6BDC" w:rsidP="0080679C">
      <w:pPr>
        <w:spacing w:line="240" w:lineRule="auto"/>
        <w:jc w:val="both"/>
        <w:rPr>
          <w:rFonts w:ascii="Arial Narrow" w:hAnsi="Arial Narrow" w:cs="Arial"/>
          <w:szCs w:val="24"/>
        </w:rPr>
      </w:pPr>
    </w:p>
    <w:p w:rsidR="004E1F86" w:rsidRDefault="00CF4870">
      <w:pPr>
        <w:pStyle w:val="Akapitzlist"/>
        <w:numPr>
          <w:ilvl w:val="0"/>
          <w:numId w:val="2"/>
        </w:numPr>
        <w:jc w:val="both"/>
        <w:rPr>
          <w:rFonts w:ascii="Arial Narrow" w:hAnsi="Arial Narrow" w:cs="Arial"/>
          <w:b/>
          <w:szCs w:val="24"/>
          <w:u w:val="single"/>
        </w:rPr>
      </w:pPr>
      <w:r w:rsidRPr="009C5142">
        <w:rPr>
          <w:rFonts w:ascii="Arial Narrow" w:hAnsi="Arial Narrow" w:cs="Arial"/>
          <w:b/>
          <w:szCs w:val="24"/>
          <w:u w:val="single"/>
        </w:rPr>
        <w:t>Wydajność energetyczna budynków</w:t>
      </w:r>
    </w:p>
    <w:p w:rsidR="009C5142" w:rsidRPr="009C5142" w:rsidRDefault="009C5142" w:rsidP="009C5142">
      <w:pPr>
        <w:pStyle w:val="Akapitzlist"/>
        <w:jc w:val="both"/>
        <w:rPr>
          <w:rFonts w:ascii="Arial Narrow" w:hAnsi="Arial Narrow" w:cs="Arial"/>
          <w:b/>
          <w:szCs w:val="24"/>
          <w:u w:val="single"/>
        </w:rPr>
      </w:pPr>
    </w:p>
    <w:p w:rsidR="00CF4870" w:rsidRPr="002D53A7" w:rsidRDefault="00003024" w:rsidP="00003024">
      <w:pPr>
        <w:spacing w:line="240" w:lineRule="auto"/>
        <w:jc w:val="both"/>
        <w:rPr>
          <w:rFonts w:ascii="Arial Narrow" w:hAnsi="Arial Narrow"/>
          <w:iCs/>
          <w:szCs w:val="24"/>
        </w:rPr>
      </w:pPr>
      <w:r w:rsidRPr="002D53A7">
        <w:rPr>
          <w:rFonts w:ascii="Arial Narrow" w:hAnsi="Arial Narrow"/>
          <w:iCs/>
          <w:szCs w:val="24"/>
        </w:rPr>
        <w:t>Przepisy dotyczące wydajności energetycznej budynków (rozporządzenie Ministra Transportu, Budownictwa i gospodarki Morskiej z dnia 5 lipca 2013 r. zmieniające rozporządzenie w sprawie warunków technicznych, jakim powinny odpowiadać budynki i ich usytuowanie, rozporządzenie Ministra Infrastruktury z dnia 6 listopada 2008 r, w sprawie metodologii obliczania charakterystyki energetycznej budynku stanowiącej samodzielną całość techniczno</w:t>
      </w:r>
      <w:r w:rsidRPr="002D53A7">
        <w:rPr>
          <w:rFonts w:ascii="Arial Narrow" w:hAnsi="Arial Narrow"/>
          <w:szCs w:val="24"/>
        </w:rPr>
        <w:t xml:space="preserve">-użytkową oraz sposobu sporządzania i wzorów świadectw ich charakterystyki energetycznej, </w:t>
      </w:r>
      <w:r w:rsidRPr="002D53A7">
        <w:rPr>
          <w:rFonts w:ascii="Arial Narrow" w:hAnsi="Arial Narrow"/>
          <w:iCs/>
          <w:szCs w:val="24"/>
        </w:rPr>
        <w:t xml:space="preserve"> </w:t>
      </w:r>
      <w:r w:rsidRPr="002D53A7">
        <w:rPr>
          <w:rFonts w:ascii="Arial Narrow" w:hAnsi="Arial Narrow"/>
          <w:szCs w:val="24"/>
        </w:rPr>
        <w:t>Rozporządzenie Ministra Gospodarki z dnia 10 sierpnia 2012 r. w sprawie szczegółowego zakresu i sposobu sporządzania audytu efektywności energetycznej, wzoru karty audytu efektywności energetycznej oraz metod obliczania oszczędności energii) narzuciły p</w:t>
      </w:r>
      <w:r w:rsidR="00CF4870" w:rsidRPr="002D53A7">
        <w:rPr>
          <w:rFonts w:ascii="Arial Narrow" w:hAnsi="Arial Narrow"/>
          <w:iCs/>
          <w:szCs w:val="24"/>
        </w:rPr>
        <w:t>odmiot</w:t>
      </w:r>
      <w:r w:rsidRPr="002D53A7">
        <w:rPr>
          <w:rFonts w:ascii="Arial Narrow" w:hAnsi="Arial Narrow"/>
          <w:iCs/>
          <w:szCs w:val="24"/>
        </w:rPr>
        <w:t>om</w:t>
      </w:r>
      <w:r w:rsidR="00CF4870" w:rsidRPr="002D53A7">
        <w:rPr>
          <w:rFonts w:ascii="Arial Narrow" w:hAnsi="Arial Narrow"/>
          <w:iCs/>
          <w:szCs w:val="24"/>
        </w:rPr>
        <w:t xml:space="preserve">  </w:t>
      </w:r>
      <w:r w:rsidR="00CF4870" w:rsidRPr="002D53A7">
        <w:rPr>
          <w:rFonts w:ascii="Arial Narrow" w:hAnsi="Arial Narrow"/>
          <w:iCs/>
          <w:szCs w:val="24"/>
        </w:rPr>
        <w:lastRenderedPageBreak/>
        <w:t>funkcjonując</w:t>
      </w:r>
      <w:r w:rsidRPr="002D53A7">
        <w:rPr>
          <w:rFonts w:ascii="Arial Narrow" w:hAnsi="Arial Narrow"/>
          <w:iCs/>
          <w:szCs w:val="24"/>
        </w:rPr>
        <w:t>ym</w:t>
      </w:r>
      <w:r w:rsidR="00CF4870" w:rsidRPr="002D53A7">
        <w:rPr>
          <w:rFonts w:ascii="Arial Narrow" w:hAnsi="Arial Narrow"/>
          <w:iCs/>
          <w:szCs w:val="24"/>
        </w:rPr>
        <w:t xml:space="preserve"> na rynku </w:t>
      </w:r>
      <w:r w:rsidRPr="002D53A7">
        <w:rPr>
          <w:rFonts w:ascii="Arial Narrow" w:hAnsi="Arial Narrow"/>
          <w:iCs/>
          <w:szCs w:val="24"/>
        </w:rPr>
        <w:t xml:space="preserve">inwestycyjnym </w:t>
      </w:r>
      <w:r w:rsidR="00CF4870" w:rsidRPr="002D53A7">
        <w:rPr>
          <w:rFonts w:ascii="Arial Narrow" w:hAnsi="Arial Narrow"/>
          <w:iCs/>
          <w:szCs w:val="24"/>
        </w:rPr>
        <w:t>koniecznoś</w:t>
      </w:r>
      <w:r w:rsidRPr="002D53A7">
        <w:rPr>
          <w:rFonts w:ascii="Arial Narrow" w:hAnsi="Arial Narrow"/>
          <w:iCs/>
          <w:szCs w:val="24"/>
        </w:rPr>
        <w:t>ć</w:t>
      </w:r>
      <w:r w:rsidR="00CF4870" w:rsidRPr="002D53A7">
        <w:rPr>
          <w:rFonts w:ascii="Arial Narrow" w:hAnsi="Arial Narrow"/>
          <w:iCs/>
          <w:szCs w:val="24"/>
        </w:rPr>
        <w:t xml:space="preserve"> wprowadzenia do realizacji szeregu nowozdefiniowanych przez ustawodawcę rozwiązań związanych z</w:t>
      </w:r>
      <w:r w:rsidR="001F64DC">
        <w:rPr>
          <w:rFonts w:ascii="Arial Narrow" w:hAnsi="Arial Narrow"/>
          <w:iCs/>
          <w:szCs w:val="24"/>
        </w:rPr>
        <w:t xml:space="preserve"> maksymalizacją wykorzystania w </w:t>
      </w:r>
      <w:r w:rsidR="00CF4870" w:rsidRPr="002D53A7">
        <w:rPr>
          <w:rFonts w:ascii="Arial Narrow" w:hAnsi="Arial Narrow"/>
          <w:iCs/>
          <w:szCs w:val="24"/>
        </w:rPr>
        <w:t>realizowanych inwestycjach energii pochodzącej ze źródeł odnawialnych. Krytycznym parametrem inwestycji stał się współczynnik e</w:t>
      </w:r>
      <w:r w:rsidRPr="002D53A7">
        <w:rPr>
          <w:rFonts w:ascii="Arial Narrow" w:hAnsi="Arial Narrow"/>
          <w:iCs/>
          <w:szCs w:val="24"/>
        </w:rPr>
        <w:t xml:space="preserve">nergii pierwotnej, a przyjęte regulacje nie uwzględniają specyfiki budowania stacji paliw – zwłaszcza w terenach niezurbanizowanych. </w:t>
      </w:r>
      <w:r w:rsidR="00CF4870" w:rsidRPr="002D53A7">
        <w:rPr>
          <w:rFonts w:ascii="Arial Narrow" w:hAnsi="Arial Narrow"/>
          <w:iCs/>
          <w:szCs w:val="24"/>
        </w:rPr>
        <w:t>Skutkiem takiego podejścia jest wzrost kosztów inwestycji – zwłaszcza poza terenem z łatwo dostępną infrastrukturą – o 10 do 12%.</w:t>
      </w:r>
    </w:p>
    <w:p w:rsidR="00003024" w:rsidRPr="002D53A7" w:rsidRDefault="00003024" w:rsidP="00003024">
      <w:pPr>
        <w:spacing w:line="240" w:lineRule="auto"/>
        <w:jc w:val="both"/>
        <w:rPr>
          <w:rFonts w:ascii="Arial Narrow" w:hAnsi="Arial Narrow"/>
          <w:iCs/>
          <w:szCs w:val="24"/>
        </w:rPr>
      </w:pPr>
    </w:p>
    <w:p w:rsidR="00003024" w:rsidRDefault="00003024" w:rsidP="00003024">
      <w:pPr>
        <w:spacing w:line="240" w:lineRule="auto"/>
        <w:jc w:val="both"/>
        <w:rPr>
          <w:rFonts w:ascii="Arial Narrow" w:hAnsi="Arial Narrow"/>
          <w:b/>
          <w:iCs/>
          <w:szCs w:val="24"/>
        </w:rPr>
      </w:pPr>
      <w:r w:rsidRPr="002D53A7">
        <w:rPr>
          <w:rFonts w:ascii="Arial Narrow" w:hAnsi="Arial Narrow"/>
          <w:b/>
          <w:iCs/>
          <w:szCs w:val="24"/>
        </w:rPr>
        <w:t>Nasze stanowisko:</w:t>
      </w:r>
    </w:p>
    <w:p w:rsidR="009C5142" w:rsidRPr="002D53A7" w:rsidRDefault="009C5142" w:rsidP="00003024">
      <w:pPr>
        <w:spacing w:line="240" w:lineRule="auto"/>
        <w:jc w:val="both"/>
        <w:rPr>
          <w:rFonts w:ascii="Arial Narrow" w:hAnsi="Arial Narrow"/>
          <w:b/>
          <w:iCs/>
          <w:szCs w:val="24"/>
        </w:rPr>
      </w:pPr>
    </w:p>
    <w:p w:rsidR="00CF4870" w:rsidRPr="002D53A7" w:rsidRDefault="00003024" w:rsidP="00CF4870">
      <w:pPr>
        <w:spacing w:line="240" w:lineRule="auto"/>
        <w:jc w:val="both"/>
        <w:rPr>
          <w:rFonts w:ascii="Arial Narrow" w:hAnsi="Arial Narrow"/>
          <w:szCs w:val="24"/>
        </w:rPr>
      </w:pPr>
      <w:r w:rsidRPr="002D53A7">
        <w:rPr>
          <w:rFonts w:ascii="Arial Narrow" w:hAnsi="Arial Narrow"/>
          <w:szCs w:val="24"/>
        </w:rPr>
        <w:t xml:space="preserve">Proponujemy przygotowanie przepisów, </w:t>
      </w:r>
      <w:r w:rsidR="00CF4870" w:rsidRPr="002D53A7">
        <w:rPr>
          <w:rFonts w:ascii="Arial Narrow" w:hAnsi="Arial Narrow"/>
          <w:szCs w:val="24"/>
        </w:rPr>
        <w:t>przyczyniających si</w:t>
      </w:r>
      <w:r w:rsidR="00202278" w:rsidRPr="002D53A7">
        <w:rPr>
          <w:rFonts w:ascii="Arial Narrow" w:hAnsi="Arial Narrow"/>
          <w:szCs w:val="24"/>
        </w:rPr>
        <w:t>ę</w:t>
      </w:r>
      <w:r w:rsidR="00CF4870" w:rsidRPr="002D53A7">
        <w:rPr>
          <w:rFonts w:ascii="Arial Narrow" w:hAnsi="Arial Narrow"/>
          <w:szCs w:val="24"/>
        </w:rPr>
        <w:t xml:space="preserve"> do stworzenia spójnego łańcucha podmiotów</w:t>
      </w:r>
      <w:r w:rsidRPr="002D53A7">
        <w:rPr>
          <w:rFonts w:ascii="Arial Narrow" w:hAnsi="Arial Narrow"/>
          <w:szCs w:val="24"/>
        </w:rPr>
        <w:t>, obejmujących</w:t>
      </w:r>
      <w:r w:rsidR="00CF4870" w:rsidRPr="002D53A7">
        <w:rPr>
          <w:rFonts w:ascii="Arial Narrow" w:hAnsi="Arial Narrow"/>
          <w:szCs w:val="24"/>
        </w:rPr>
        <w:t xml:space="preserve"> producent</w:t>
      </w:r>
      <w:r w:rsidRPr="002D53A7">
        <w:rPr>
          <w:rFonts w:ascii="Arial Narrow" w:hAnsi="Arial Narrow"/>
          <w:szCs w:val="24"/>
        </w:rPr>
        <w:t>ów</w:t>
      </w:r>
      <w:r w:rsidR="00CF4870" w:rsidRPr="002D53A7">
        <w:rPr>
          <w:rFonts w:ascii="Arial Narrow" w:hAnsi="Arial Narrow"/>
          <w:szCs w:val="24"/>
        </w:rPr>
        <w:t xml:space="preserve"> energii</w:t>
      </w:r>
      <w:r w:rsidRPr="002D53A7">
        <w:rPr>
          <w:rFonts w:ascii="Arial Narrow" w:hAnsi="Arial Narrow"/>
          <w:szCs w:val="24"/>
        </w:rPr>
        <w:t xml:space="preserve"> i nabywców</w:t>
      </w:r>
      <w:r w:rsidR="00CF4870" w:rsidRPr="002D53A7">
        <w:rPr>
          <w:rFonts w:ascii="Arial Narrow" w:hAnsi="Arial Narrow"/>
          <w:szCs w:val="24"/>
        </w:rPr>
        <w:t xml:space="preserve"> energii, stymulowanych w jednakowy sposób nie tylko do konsumpcji</w:t>
      </w:r>
      <w:r w:rsidRPr="002D53A7">
        <w:rPr>
          <w:rFonts w:ascii="Arial Narrow" w:hAnsi="Arial Narrow"/>
          <w:szCs w:val="24"/>
        </w:rPr>
        <w:t>,</w:t>
      </w:r>
      <w:r w:rsidR="00CF4870" w:rsidRPr="002D53A7">
        <w:rPr>
          <w:rFonts w:ascii="Arial Narrow" w:hAnsi="Arial Narrow"/>
          <w:szCs w:val="24"/>
        </w:rPr>
        <w:t xml:space="preserve"> ale i produkcji energii ze źródeł odnawialnych. W przypadku  pozostawienia </w:t>
      </w:r>
      <w:r w:rsidR="00CF4870" w:rsidRPr="002D53A7">
        <w:rPr>
          <w:rFonts w:ascii="Arial Narrow" w:hAnsi="Arial Narrow"/>
          <w:i/>
          <w:szCs w:val="24"/>
        </w:rPr>
        <w:t>status quo</w:t>
      </w:r>
      <w:r w:rsidR="00CF4870" w:rsidRPr="002D53A7">
        <w:rPr>
          <w:rFonts w:ascii="Arial Narrow" w:hAnsi="Arial Narrow"/>
          <w:szCs w:val="24"/>
        </w:rPr>
        <w:t xml:space="preserve"> to </w:t>
      </w:r>
      <w:r w:rsidRPr="002D53A7">
        <w:rPr>
          <w:rFonts w:ascii="Arial Narrow" w:hAnsi="Arial Narrow"/>
          <w:szCs w:val="24"/>
        </w:rPr>
        <w:t xml:space="preserve">tylko </w:t>
      </w:r>
      <w:r w:rsidR="00CF4870" w:rsidRPr="002D53A7">
        <w:rPr>
          <w:rFonts w:ascii="Arial Narrow" w:hAnsi="Arial Narrow"/>
          <w:szCs w:val="24"/>
        </w:rPr>
        <w:t>na inwestorze ogniskować si</w:t>
      </w:r>
      <w:r w:rsidRPr="002D53A7">
        <w:rPr>
          <w:rFonts w:ascii="Arial Narrow" w:hAnsi="Arial Narrow"/>
          <w:szCs w:val="24"/>
        </w:rPr>
        <w:t>ę</w:t>
      </w:r>
      <w:r w:rsidR="00CF4870" w:rsidRPr="002D53A7">
        <w:rPr>
          <w:rFonts w:ascii="Arial Narrow" w:hAnsi="Arial Narrow"/>
          <w:szCs w:val="24"/>
        </w:rPr>
        <w:t xml:space="preserve"> będzie wymóg realizacji obowiązujących obecnie zapisów w zakresie posługiwania si</w:t>
      </w:r>
      <w:r w:rsidRPr="002D53A7">
        <w:rPr>
          <w:rFonts w:ascii="Arial Narrow" w:hAnsi="Arial Narrow"/>
          <w:szCs w:val="24"/>
        </w:rPr>
        <w:t>ę</w:t>
      </w:r>
      <w:r w:rsidR="00CF4870" w:rsidRPr="002D53A7">
        <w:rPr>
          <w:rFonts w:ascii="Arial Narrow" w:hAnsi="Arial Narrow"/>
          <w:szCs w:val="24"/>
        </w:rPr>
        <w:t xml:space="preserve"> energią ze źródeł odnawialnych.</w:t>
      </w:r>
      <w:r w:rsidRPr="002D53A7">
        <w:rPr>
          <w:rFonts w:ascii="Arial Narrow" w:hAnsi="Arial Narrow"/>
          <w:szCs w:val="24"/>
        </w:rPr>
        <w:t xml:space="preserve"> </w:t>
      </w:r>
    </w:p>
    <w:p w:rsidR="00CF4870" w:rsidRPr="002D53A7" w:rsidRDefault="00CF4870" w:rsidP="00CF4870">
      <w:pPr>
        <w:jc w:val="both"/>
        <w:rPr>
          <w:rFonts w:ascii="Arial Narrow" w:hAnsi="Arial Narrow"/>
          <w:szCs w:val="24"/>
        </w:rPr>
      </w:pPr>
    </w:p>
    <w:p w:rsidR="004E1F86" w:rsidRDefault="00CF4870">
      <w:pPr>
        <w:pStyle w:val="Akapitzlist"/>
        <w:numPr>
          <w:ilvl w:val="0"/>
          <w:numId w:val="2"/>
        </w:numPr>
        <w:jc w:val="both"/>
        <w:rPr>
          <w:rFonts w:ascii="Arial Narrow" w:hAnsi="Arial Narrow"/>
          <w:b/>
          <w:szCs w:val="24"/>
          <w:u w:val="single"/>
        </w:rPr>
      </w:pPr>
      <w:r w:rsidRPr="002D53A7">
        <w:rPr>
          <w:rFonts w:ascii="Arial Narrow" w:hAnsi="Arial Narrow"/>
          <w:b/>
          <w:szCs w:val="24"/>
          <w:u w:val="single"/>
        </w:rPr>
        <w:t>Kradzieże na stacjach paliw</w:t>
      </w:r>
    </w:p>
    <w:p w:rsidR="009C5142" w:rsidRPr="002D53A7" w:rsidRDefault="009C5142" w:rsidP="009C5142">
      <w:pPr>
        <w:pStyle w:val="Akapitzlist"/>
        <w:jc w:val="both"/>
        <w:rPr>
          <w:rFonts w:ascii="Arial Narrow" w:hAnsi="Arial Narrow"/>
          <w:b/>
          <w:szCs w:val="24"/>
          <w:u w:val="single"/>
        </w:rPr>
      </w:pPr>
    </w:p>
    <w:p w:rsidR="00FE3B86" w:rsidRPr="002D53A7" w:rsidRDefault="00FE3B86" w:rsidP="00021BDE">
      <w:pPr>
        <w:spacing w:line="240" w:lineRule="auto"/>
        <w:jc w:val="both"/>
        <w:rPr>
          <w:rFonts w:ascii="Arial Narrow" w:hAnsi="Arial Narrow"/>
          <w:szCs w:val="24"/>
        </w:rPr>
      </w:pPr>
      <w:r w:rsidRPr="002D53A7">
        <w:rPr>
          <w:rFonts w:ascii="Arial Narrow" w:hAnsi="Arial Narrow"/>
          <w:szCs w:val="24"/>
        </w:rPr>
        <w:t xml:space="preserve">Ostatnie miesiące przyniosły zauważalny wzrost liczby kradzieży </w:t>
      </w:r>
      <w:r w:rsidR="00021BDE" w:rsidRPr="002D53A7">
        <w:rPr>
          <w:rFonts w:ascii="Arial Narrow" w:hAnsi="Arial Narrow"/>
          <w:szCs w:val="24"/>
        </w:rPr>
        <w:t xml:space="preserve">w punktach handlowych, w tym na stacjach paliw. </w:t>
      </w:r>
      <w:r w:rsidRPr="002D53A7">
        <w:rPr>
          <w:rFonts w:ascii="Arial Narrow" w:hAnsi="Arial Narrow"/>
          <w:szCs w:val="24"/>
        </w:rPr>
        <w:t xml:space="preserve">W opinii ekspertów wzrost tego typu czynów w znacznym stopniu spowodowany jest zmianami art. 19 Kodeksu wykroczeń </w:t>
      </w:r>
      <w:r w:rsidR="00202278" w:rsidRPr="002D53A7">
        <w:rPr>
          <w:rFonts w:ascii="Arial Narrow" w:hAnsi="Arial Narrow"/>
          <w:szCs w:val="24"/>
        </w:rPr>
        <w:t xml:space="preserve">dokonanymi </w:t>
      </w:r>
      <w:r w:rsidRPr="002D53A7">
        <w:rPr>
          <w:rFonts w:ascii="Arial Narrow" w:hAnsi="Arial Narrow"/>
          <w:szCs w:val="24"/>
        </w:rPr>
        <w:t xml:space="preserve">w 2013 roku, </w:t>
      </w:r>
      <w:r w:rsidR="00202278" w:rsidRPr="002D53A7">
        <w:rPr>
          <w:rFonts w:ascii="Arial Narrow" w:hAnsi="Arial Narrow"/>
          <w:szCs w:val="24"/>
        </w:rPr>
        <w:t xml:space="preserve">a </w:t>
      </w:r>
      <w:r w:rsidRPr="002D53A7">
        <w:rPr>
          <w:rFonts w:ascii="Arial Narrow" w:hAnsi="Arial Narrow"/>
          <w:szCs w:val="24"/>
        </w:rPr>
        <w:t xml:space="preserve">podnoszącymi próg wartości kradzieży, powyżej którego czyn taki klasyfikowany jest jako przestępstwo z dotychczasowych 250 zł do ¼ pensji minimalnej, czyli w przybliżeniu 420 zł. </w:t>
      </w:r>
    </w:p>
    <w:p w:rsidR="00FE3B86" w:rsidRPr="002D53A7" w:rsidRDefault="00FE3B86" w:rsidP="00021BDE">
      <w:pPr>
        <w:spacing w:line="240" w:lineRule="auto"/>
        <w:jc w:val="both"/>
        <w:rPr>
          <w:rFonts w:ascii="Arial Narrow" w:hAnsi="Arial Narrow"/>
          <w:szCs w:val="24"/>
        </w:rPr>
      </w:pPr>
      <w:r w:rsidRPr="002D53A7">
        <w:rPr>
          <w:rFonts w:ascii="Arial Narrow" w:hAnsi="Arial Narrow"/>
          <w:szCs w:val="24"/>
        </w:rPr>
        <w:t xml:space="preserve">Wzrost liczby kradzieży powoduje bezpośrednie straty materialne dla właścicieli stacji paliw, a także zagrożenie bezpieczeństwa dla personelu i klientów. Według </w:t>
      </w:r>
      <w:r w:rsidR="00021BDE" w:rsidRPr="002D53A7">
        <w:rPr>
          <w:rFonts w:ascii="Arial Narrow" w:hAnsi="Arial Narrow"/>
          <w:szCs w:val="24"/>
        </w:rPr>
        <w:t>szacunków branży w 2014 roku miało miejsce ponad</w:t>
      </w:r>
      <w:r w:rsidRPr="002D53A7">
        <w:rPr>
          <w:rFonts w:ascii="Arial Narrow" w:hAnsi="Arial Narrow"/>
          <w:szCs w:val="24"/>
        </w:rPr>
        <w:t xml:space="preserve"> 100 000 </w:t>
      </w:r>
      <w:r w:rsidR="00021BDE" w:rsidRPr="002D53A7">
        <w:rPr>
          <w:rFonts w:ascii="Arial Narrow" w:hAnsi="Arial Narrow"/>
          <w:szCs w:val="24"/>
        </w:rPr>
        <w:t>kradzieży paliwa, polegających na zatankowaniu i odjechaniu bez zapłacenia. O</w:t>
      </w:r>
      <w:r w:rsidRPr="002D53A7">
        <w:rPr>
          <w:rFonts w:ascii="Arial Narrow" w:hAnsi="Arial Narrow"/>
          <w:szCs w:val="24"/>
        </w:rPr>
        <w:t>gólną wartość kradzionego paliwa można szacować na ponad 20 mln złotych rocznie.</w:t>
      </w:r>
    </w:p>
    <w:p w:rsidR="00FE3B86" w:rsidRPr="002D53A7" w:rsidRDefault="00FE3B86" w:rsidP="00021BDE">
      <w:pPr>
        <w:spacing w:line="240" w:lineRule="auto"/>
        <w:jc w:val="both"/>
        <w:rPr>
          <w:rFonts w:ascii="Arial Narrow" w:hAnsi="Arial Narrow"/>
          <w:szCs w:val="24"/>
        </w:rPr>
      </w:pPr>
      <w:r w:rsidRPr="002D53A7">
        <w:rPr>
          <w:rFonts w:ascii="Arial Narrow" w:hAnsi="Arial Narrow"/>
          <w:szCs w:val="24"/>
        </w:rPr>
        <w:t>Szczególny niepokój budzi obserwowany wzrost zuchwałości kradzieży, a także profesjonalizacja środowiska złodziei, wyrażająca się tworzeniem coraz większy</w:t>
      </w:r>
      <w:r w:rsidR="00202278" w:rsidRPr="002D53A7">
        <w:rPr>
          <w:rFonts w:ascii="Arial Narrow" w:hAnsi="Arial Narrow"/>
          <w:szCs w:val="24"/>
        </w:rPr>
        <w:t>ch i</w:t>
      </w:r>
      <w:r w:rsidRPr="002D53A7">
        <w:rPr>
          <w:rFonts w:ascii="Arial Narrow" w:hAnsi="Arial Narrow"/>
          <w:szCs w:val="24"/>
        </w:rPr>
        <w:t xml:space="preserve"> lepiej zorganizowanych, wyspecjalizowanych grup przestępczych trudniących się tym procederem. Często kradzione paliwo odsprzedawane jest innym kierowcom po zaniżonej cenie. </w:t>
      </w:r>
    </w:p>
    <w:p w:rsidR="00FE3B86" w:rsidRPr="002D53A7" w:rsidRDefault="00FE3B86" w:rsidP="00021BDE">
      <w:pPr>
        <w:spacing w:line="240" w:lineRule="auto"/>
        <w:jc w:val="both"/>
        <w:rPr>
          <w:rFonts w:ascii="Arial Narrow" w:hAnsi="Arial Narrow"/>
          <w:szCs w:val="24"/>
        </w:rPr>
      </w:pPr>
      <w:r w:rsidRPr="002D53A7">
        <w:rPr>
          <w:rFonts w:ascii="Arial Narrow" w:hAnsi="Arial Narrow"/>
          <w:szCs w:val="24"/>
        </w:rPr>
        <w:t xml:space="preserve">Obserwacje, których dostarcza praktyka bardziej rozwiniętych gospodarczo państw m.in. Europy Zachodniej, każą przygotowywać się na dalszy dynamiczny wzrost skali opisywanych problemów, które poza granicami Polski znane i obserwowane są od dziesiątków lat. </w:t>
      </w:r>
    </w:p>
    <w:p w:rsidR="00F04714" w:rsidRPr="002D53A7" w:rsidRDefault="00F04714" w:rsidP="000348DE">
      <w:pPr>
        <w:spacing w:line="240" w:lineRule="auto"/>
        <w:jc w:val="both"/>
        <w:rPr>
          <w:rFonts w:ascii="Arial Narrow" w:hAnsi="Arial Narrow"/>
          <w:b/>
          <w:szCs w:val="24"/>
        </w:rPr>
      </w:pPr>
    </w:p>
    <w:p w:rsidR="00021BDE" w:rsidRDefault="00003024" w:rsidP="000348DE">
      <w:pPr>
        <w:spacing w:line="240" w:lineRule="auto"/>
        <w:jc w:val="both"/>
        <w:rPr>
          <w:rFonts w:ascii="Arial Narrow" w:hAnsi="Arial Narrow"/>
          <w:b/>
          <w:szCs w:val="24"/>
        </w:rPr>
      </w:pPr>
      <w:r w:rsidRPr="002D53A7">
        <w:rPr>
          <w:rFonts w:ascii="Arial Narrow" w:hAnsi="Arial Narrow"/>
          <w:b/>
          <w:szCs w:val="24"/>
        </w:rPr>
        <w:t>Nasze s</w:t>
      </w:r>
      <w:r w:rsidR="00021BDE" w:rsidRPr="002D53A7">
        <w:rPr>
          <w:rFonts w:ascii="Arial Narrow" w:hAnsi="Arial Narrow"/>
          <w:b/>
          <w:szCs w:val="24"/>
        </w:rPr>
        <w:t>tanowisko:</w:t>
      </w:r>
    </w:p>
    <w:p w:rsidR="009C5142" w:rsidRPr="002D53A7" w:rsidRDefault="009C5142" w:rsidP="000348DE">
      <w:pPr>
        <w:spacing w:line="240" w:lineRule="auto"/>
        <w:jc w:val="both"/>
        <w:rPr>
          <w:rFonts w:ascii="Arial Narrow" w:hAnsi="Arial Narrow"/>
          <w:b/>
          <w:szCs w:val="24"/>
        </w:rPr>
      </w:pPr>
    </w:p>
    <w:p w:rsidR="00FE3B86" w:rsidRPr="002D53A7" w:rsidRDefault="00FE3B86" w:rsidP="000348DE">
      <w:pPr>
        <w:spacing w:line="240" w:lineRule="auto"/>
        <w:jc w:val="both"/>
        <w:rPr>
          <w:rFonts w:ascii="Arial Narrow" w:hAnsi="Arial Narrow"/>
          <w:szCs w:val="24"/>
        </w:rPr>
      </w:pPr>
      <w:r w:rsidRPr="002D53A7">
        <w:rPr>
          <w:rFonts w:ascii="Arial Narrow" w:hAnsi="Arial Narrow"/>
          <w:szCs w:val="24"/>
        </w:rPr>
        <w:t xml:space="preserve">POPiHN </w:t>
      </w:r>
      <w:r w:rsidR="00021BDE" w:rsidRPr="002D53A7">
        <w:rPr>
          <w:rFonts w:ascii="Arial Narrow" w:hAnsi="Arial Narrow"/>
          <w:szCs w:val="24"/>
        </w:rPr>
        <w:t xml:space="preserve">oczekuje </w:t>
      </w:r>
      <w:r w:rsidRPr="002D53A7">
        <w:rPr>
          <w:rFonts w:ascii="Arial Narrow" w:hAnsi="Arial Narrow"/>
          <w:szCs w:val="24"/>
        </w:rPr>
        <w:t>zmiany obowiązującego prawa, a także większej s</w:t>
      </w:r>
      <w:r w:rsidR="001F64DC">
        <w:rPr>
          <w:rFonts w:ascii="Arial Narrow" w:hAnsi="Arial Narrow"/>
          <w:szCs w:val="24"/>
        </w:rPr>
        <w:t>kuteczności organów ścigania  w </w:t>
      </w:r>
      <w:r w:rsidRPr="002D53A7">
        <w:rPr>
          <w:rFonts w:ascii="Arial Narrow" w:hAnsi="Arial Narrow"/>
          <w:szCs w:val="24"/>
        </w:rPr>
        <w:t>ograniczeniu tego typu wykroczeń i przestępstw.</w:t>
      </w:r>
    </w:p>
    <w:p w:rsidR="00FE3B86" w:rsidRPr="002D53A7" w:rsidRDefault="00943868" w:rsidP="000348DE">
      <w:pPr>
        <w:spacing w:line="240" w:lineRule="auto"/>
        <w:jc w:val="both"/>
        <w:rPr>
          <w:rFonts w:ascii="Arial Narrow" w:hAnsi="Arial Narrow"/>
          <w:szCs w:val="24"/>
        </w:rPr>
      </w:pPr>
      <w:r w:rsidRPr="002D53A7">
        <w:rPr>
          <w:rFonts w:ascii="Arial Narrow" w:hAnsi="Arial Narrow"/>
          <w:szCs w:val="24"/>
        </w:rPr>
        <w:t>W szczególności wraz z innymi organizacjami, zrzeszającymi handlowców, uważamy za konieczne:</w:t>
      </w:r>
    </w:p>
    <w:p w:rsidR="00FE3B86" w:rsidRPr="002D53A7" w:rsidRDefault="00FE3B86" w:rsidP="000348DE">
      <w:pPr>
        <w:pStyle w:val="Akapitzlist"/>
        <w:numPr>
          <w:ilvl w:val="0"/>
          <w:numId w:val="8"/>
        </w:numPr>
        <w:jc w:val="both"/>
        <w:rPr>
          <w:rFonts w:ascii="Arial Narrow" w:hAnsi="Arial Narrow"/>
          <w:sz w:val="24"/>
          <w:szCs w:val="24"/>
        </w:rPr>
      </w:pPr>
      <w:r w:rsidRPr="002D53A7">
        <w:rPr>
          <w:rFonts w:ascii="Arial Narrow" w:hAnsi="Arial Narrow"/>
          <w:sz w:val="24"/>
          <w:szCs w:val="24"/>
        </w:rPr>
        <w:t>umożliwienie Policji gromadzenie i przetwarzanie danych o sprawcach wykroczeń (stworzenie rejestru wykroczeń – wprowadzenie zmian w ust. 2a art. 20 us</w:t>
      </w:r>
      <w:r w:rsidR="00F04714" w:rsidRPr="002D53A7">
        <w:rPr>
          <w:rFonts w:ascii="Arial Narrow" w:hAnsi="Arial Narrow"/>
          <w:sz w:val="24"/>
          <w:szCs w:val="24"/>
        </w:rPr>
        <w:t>tawy o Policji);</w:t>
      </w:r>
      <w:r w:rsidRPr="002D53A7">
        <w:rPr>
          <w:rFonts w:ascii="Arial Narrow" w:hAnsi="Arial Narrow"/>
          <w:sz w:val="24"/>
          <w:szCs w:val="24"/>
        </w:rPr>
        <w:t xml:space="preserve"> </w:t>
      </w:r>
    </w:p>
    <w:p w:rsidR="00FE3B86" w:rsidRPr="002D53A7" w:rsidRDefault="00FE3B86" w:rsidP="000348DE">
      <w:pPr>
        <w:pStyle w:val="Akapitzlist"/>
        <w:numPr>
          <w:ilvl w:val="0"/>
          <w:numId w:val="8"/>
        </w:numPr>
        <w:jc w:val="both"/>
        <w:rPr>
          <w:rFonts w:ascii="Arial Narrow" w:hAnsi="Arial Narrow"/>
          <w:sz w:val="24"/>
          <w:szCs w:val="24"/>
        </w:rPr>
      </w:pPr>
      <w:r w:rsidRPr="002D53A7">
        <w:rPr>
          <w:rFonts w:ascii="Arial Narrow" w:hAnsi="Arial Narrow" w:cs="Arial"/>
          <w:sz w:val="24"/>
          <w:szCs w:val="24"/>
        </w:rPr>
        <w:t>zmianę kwalifikacji serii kradzieży poprzez uznanie ich jako czynu ciągłego (art. 11 KK), a także zmiany definicji kwalifikacji „kradzieży w sposób zuchwały” i umożliwienie stosowania art. 38 Ko</w:t>
      </w:r>
      <w:r w:rsidR="00F04714" w:rsidRPr="002D53A7">
        <w:rPr>
          <w:rFonts w:ascii="Arial Narrow" w:hAnsi="Arial Narrow" w:cs="Arial"/>
          <w:sz w:val="24"/>
          <w:szCs w:val="24"/>
        </w:rPr>
        <w:t>deksu wykroczeń (tzw. recydywa);</w:t>
      </w:r>
    </w:p>
    <w:p w:rsidR="00FE3B86" w:rsidRPr="002D53A7" w:rsidRDefault="00FE3B86" w:rsidP="000348DE">
      <w:pPr>
        <w:pStyle w:val="Akapitzlist"/>
        <w:numPr>
          <w:ilvl w:val="0"/>
          <w:numId w:val="8"/>
        </w:numPr>
        <w:jc w:val="both"/>
        <w:rPr>
          <w:rFonts w:ascii="Arial Narrow" w:hAnsi="Arial Narrow"/>
          <w:sz w:val="24"/>
          <w:szCs w:val="24"/>
        </w:rPr>
      </w:pPr>
      <w:r w:rsidRPr="002D53A7">
        <w:rPr>
          <w:rFonts w:ascii="Arial Narrow" w:hAnsi="Arial Narrow"/>
          <w:sz w:val="24"/>
          <w:szCs w:val="24"/>
        </w:rPr>
        <w:t>Przywrócenie w kodeksie karnym pierwotnego brzmienia art. 208 z kk 1967 – penalizujące</w:t>
      </w:r>
      <w:r w:rsidR="00943868" w:rsidRPr="002D53A7">
        <w:rPr>
          <w:rFonts w:ascii="Arial Narrow" w:hAnsi="Arial Narrow"/>
          <w:sz w:val="24"/>
          <w:szCs w:val="24"/>
        </w:rPr>
        <w:t>go</w:t>
      </w:r>
      <w:r w:rsidRPr="002D53A7">
        <w:rPr>
          <w:rFonts w:ascii="Arial Narrow" w:hAnsi="Arial Narrow"/>
          <w:sz w:val="24"/>
          <w:szCs w:val="24"/>
        </w:rPr>
        <w:t xml:space="preserve"> kradzież dokonaną w sposób szczególnie zuchwały niezależnie od </w:t>
      </w:r>
      <w:r w:rsidR="001F64DC">
        <w:rPr>
          <w:rFonts w:ascii="Arial Narrow" w:hAnsi="Arial Narrow"/>
          <w:sz w:val="24"/>
          <w:szCs w:val="24"/>
        </w:rPr>
        <w:t>wartości przedmiotu kradzieży i </w:t>
      </w:r>
      <w:r w:rsidRPr="002D53A7">
        <w:rPr>
          <w:rFonts w:ascii="Arial Narrow" w:hAnsi="Arial Narrow"/>
          <w:sz w:val="24"/>
          <w:szCs w:val="24"/>
        </w:rPr>
        <w:t>objęcie tą kwalifikacją kradzieży dokonywan</w:t>
      </w:r>
      <w:r w:rsidR="00202278" w:rsidRPr="002D53A7">
        <w:rPr>
          <w:rFonts w:ascii="Arial Narrow" w:hAnsi="Arial Narrow"/>
          <w:sz w:val="24"/>
          <w:szCs w:val="24"/>
        </w:rPr>
        <w:t>ych</w:t>
      </w:r>
      <w:r w:rsidRPr="002D53A7">
        <w:rPr>
          <w:rFonts w:ascii="Arial Narrow" w:hAnsi="Arial Narrow"/>
          <w:sz w:val="24"/>
          <w:szCs w:val="24"/>
        </w:rPr>
        <w:t xml:space="preserve"> na stacjach paliw</w:t>
      </w:r>
      <w:r w:rsidR="00943868" w:rsidRPr="002D53A7">
        <w:rPr>
          <w:rFonts w:ascii="Arial Narrow" w:hAnsi="Arial Narrow"/>
          <w:sz w:val="24"/>
          <w:szCs w:val="24"/>
        </w:rPr>
        <w:t xml:space="preserve"> i w innych punktach handlowych;</w:t>
      </w:r>
    </w:p>
    <w:p w:rsidR="00FE3B86" w:rsidRDefault="00FE3B86" w:rsidP="000348DE">
      <w:pPr>
        <w:pStyle w:val="Akapitzlist"/>
        <w:numPr>
          <w:ilvl w:val="0"/>
          <w:numId w:val="8"/>
        </w:numPr>
        <w:jc w:val="both"/>
        <w:rPr>
          <w:rFonts w:ascii="Arial Narrow" w:hAnsi="Arial Narrow"/>
          <w:sz w:val="24"/>
          <w:szCs w:val="24"/>
        </w:rPr>
      </w:pPr>
      <w:r w:rsidRPr="002D53A7">
        <w:rPr>
          <w:rFonts w:ascii="Arial Narrow" w:hAnsi="Arial Narrow"/>
          <w:sz w:val="24"/>
          <w:szCs w:val="24"/>
        </w:rPr>
        <w:t>Wprowadzenie w ustawie o ochronie danych osobowych zmian dopuszczających prowadzenie baz danych oraz bieżącą wymianę informacji o dokonanych kradzieżach między przedsiębiorcami;</w:t>
      </w:r>
    </w:p>
    <w:p w:rsidR="002831FB" w:rsidRPr="002D53A7" w:rsidRDefault="002831FB" w:rsidP="002831FB">
      <w:pPr>
        <w:pStyle w:val="Akapitzlist"/>
        <w:jc w:val="both"/>
        <w:rPr>
          <w:rFonts w:ascii="Arial Narrow" w:hAnsi="Arial Narrow"/>
          <w:sz w:val="24"/>
          <w:szCs w:val="24"/>
        </w:rPr>
      </w:pPr>
    </w:p>
    <w:p w:rsidR="00FE3B86" w:rsidRPr="002D53A7" w:rsidRDefault="00FE3B86" w:rsidP="00FE3B86">
      <w:pPr>
        <w:jc w:val="both"/>
        <w:rPr>
          <w:rFonts w:ascii="Arial Narrow" w:hAnsi="Arial Narrow" w:cs="Arial"/>
          <w:szCs w:val="24"/>
        </w:rPr>
      </w:pPr>
    </w:p>
    <w:p w:rsidR="004E1F86" w:rsidRDefault="009F408C">
      <w:pPr>
        <w:pStyle w:val="Akapitzlist"/>
        <w:numPr>
          <w:ilvl w:val="0"/>
          <w:numId w:val="2"/>
        </w:numPr>
        <w:jc w:val="both"/>
        <w:rPr>
          <w:rFonts w:ascii="Arial Narrow" w:hAnsi="Arial Narrow" w:cs="Arial"/>
          <w:b/>
          <w:szCs w:val="24"/>
          <w:u w:val="single"/>
        </w:rPr>
      </w:pPr>
      <w:r w:rsidRPr="002D53A7">
        <w:rPr>
          <w:rFonts w:ascii="Arial Narrow" w:hAnsi="Arial Narrow" w:cs="Arial"/>
          <w:b/>
          <w:szCs w:val="24"/>
          <w:u w:val="single"/>
        </w:rPr>
        <w:lastRenderedPageBreak/>
        <w:t>Regulacje Unii Europejskiej</w:t>
      </w:r>
    </w:p>
    <w:p w:rsidR="009C5142" w:rsidRPr="002D53A7" w:rsidRDefault="009C5142" w:rsidP="009C5142">
      <w:pPr>
        <w:pStyle w:val="Akapitzlist"/>
        <w:jc w:val="both"/>
        <w:rPr>
          <w:rFonts w:ascii="Arial Narrow" w:hAnsi="Arial Narrow" w:cs="Arial"/>
          <w:b/>
          <w:szCs w:val="24"/>
          <w:u w:val="single"/>
        </w:rPr>
      </w:pPr>
    </w:p>
    <w:p w:rsidR="009F408C" w:rsidRPr="002D53A7" w:rsidRDefault="009F408C" w:rsidP="009F408C">
      <w:pPr>
        <w:spacing w:line="240" w:lineRule="auto"/>
        <w:jc w:val="both"/>
        <w:rPr>
          <w:rFonts w:ascii="Arial Narrow" w:hAnsi="Arial Narrow" w:cs="Arial"/>
          <w:szCs w:val="24"/>
        </w:rPr>
      </w:pPr>
      <w:r w:rsidRPr="002D53A7">
        <w:rPr>
          <w:rFonts w:ascii="Arial Narrow" w:hAnsi="Arial Narrow" w:cs="Arial"/>
          <w:szCs w:val="24"/>
        </w:rPr>
        <w:t xml:space="preserve">W organach decyzyjnych Unii Europejskiej toczy się debata nad kształtem polityki energetyczno-klimatycznej i polityki transportowej w dłuższej perspektywie. </w:t>
      </w:r>
      <w:r w:rsidR="003233A4" w:rsidRPr="002D53A7">
        <w:rPr>
          <w:rFonts w:ascii="Arial Narrow" w:hAnsi="Arial Narrow" w:cs="Arial"/>
          <w:szCs w:val="24"/>
        </w:rPr>
        <w:t xml:space="preserve">Po latach narzucania na europejski przemysł rafineryjny nieproporcjonalnych obciążeń, pogarszając ich konkurencyjność względem konkurentów spoza UE, w Komisji Europejskiej pojawiły się głosy wskazujące na konieczność zmiany dotychczasowej polityki. </w:t>
      </w:r>
      <w:r w:rsidRPr="002D53A7">
        <w:rPr>
          <w:rFonts w:ascii="Arial Narrow" w:hAnsi="Arial Narrow" w:cs="Arial"/>
          <w:szCs w:val="24"/>
        </w:rPr>
        <w:t>Przyjęte rozwiązania będą miały bezpośredni wpływ na przyszłość branży rafineryjnej w Europie. Powinny one uwzględniać fakt, że w średniej perspektywie ropa naftowa pozostanie głównym nośnikiem energii do zastosowań w transporcie. Nieprzemyślane regulacje prawne, nie uwzględniające interesu nie tylko branży rafineryjnej, ale też związanych z nią sektorów gospodarki, mogą dopr</w:t>
      </w:r>
      <w:r w:rsidR="001F64DC">
        <w:rPr>
          <w:rFonts w:ascii="Arial Narrow" w:hAnsi="Arial Narrow" w:cs="Arial"/>
          <w:szCs w:val="24"/>
        </w:rPr>
        <w:t>owadzić do upadku sektora i </w:t>
      </w:r>
      <w:r w:rsidRPr="002D53A7">
        <w:rPr>
          <w:rFonts w:ascii="Arial Narrow" w:hAnsi="Arial Narrow" w:cs="Arial"/>
          <w:szCs w:val="24"/>
        </w:rPr>
        <w:t>przeniesienia produkcji poza granice Unii Europejskiej. Miałoby to tragiczne skutki dla całej gospodarki europejskiej, a także jej bezpieczeństwa energetycznego.</w:t>
      </w:r>
    </w:p>
    <w:p w:rsidR="009F408C" w:rsidRPr="002D53A7" w:rsidRDefault="009F408C" w:rsidP="009F408C">
      <w:pPr>
        <w:spacing w:line="240" w:lineRule="auto"/>
        <w:jc w:val="both"/>
        <w:rPr>
          <w:rFonts w:ascii="Arial Narrow" w:hAnsi="Arial Narrow" w:cs="Arial"/>
          <w:szCs w:val="24"/>
        </w:rPr>
      </w:pPr>
    </w:p>
    <w:p w:rsidR="009F408C" w:rsidRDefault="009F408C" w:rsidP="009F408C">
      <w:pPr>
        <w:spacing w:line="240" w:lineRule="auto"/>
        <w:jc w:val="both"/>
        <w:rPr>
          <w:rFonts w:ascii="Arial Narrow" w:hAnsi="Arial Narrow" w:cs="Arial"/>
          <w:b/>
          <w:szCs w:val="24"/>
        </w:rPr>
      </w:pPr>
      <w:r w:rsidRPr="002D53A7">
        <w:rPr>
          <w:rFonts w:ascii="Arial Narrow" w:hAnsi="Arial Narrow" w:cs="Arial"/>
          <w:b/>
          <w:szCs w:val="24"/>
        </w:rPr>
        <w:t>Nasze stanowisko:</w:t>
      </w:r>
    </w:p>
    <w:p w:rsidR="009C5142" w:rsidRPr="002D53A7" w:rsidRDefault="009C5142" w:rsidP="009F408C">
      <w:pPr>
        <w:spacing w:line="240" w:lineRule="auto"/>
        <w:jc w:val="both"/>
        <w:rPr>
          <w:rFonts w:ascii="Arial Narrow" w:hAnsi="Arial Narrow" w:cs="Arial"/>
          <w:b/>
          <w:szCs w:val="24"/>
        </w:rPr>
      </w:pPr>
    </w:p>
    <w:p w:rsidR="009F408C" w:rsidRPr="009C5142" w:rsidRDefault="009F408C" w:rsidP="009C5142">
      <w:pPr>
        <w:spacing w:line="240" w:lineRule="auto"/>
        <w:jc w:val="both"/>
        <w:rPr>
          <w:rFonts w:ascii="Arial Narrow" w:hAnsi="Arial Narrow"/>
          <w:szCs w:val="24"/>
        </w:rPr>
      </w:pPr>
      <w:r w:rsidRPr="002D53A7">
        <w:rPr>
          <w:rFonts w:ascii="Arial Narrow" w:hAnsi="Arial Narrow" w:cs="Arial"/>
          <w:szCs w:val="24"/>
        </w:rPr>
        <w:t xml:space="preserve">Oczekujemy dalszego dialogu administracji z reprezentantami sektora </w:t>
      </w:r>
      <w:r w:rsidR="001F64DC">
        <w:rPr>
          <w:rFonts w:ascii="Arial Narrow" w:hAnsi="Arial Narrow" w:cs="Arial"/>
          <w:szCs w:val="24"/>
        </w:rPr>
        <w:t>i uwzględniania naszego głosu w </w:t>
      </w:r>
      <w:r w:rsidRPr="002D53A7">
        <w:rPr>
          <w:rFonts w:ascii="Arial Narrow" w:hAnsi="Arial Narrow" w:cs="Arial"/>
          <w:szCs w:val="24"/>
        </w:rPr>
        <w:t>stanowisku prezentowanym przez przedstawicieli Polski na forum Unii Europejskiej. Niezbędna jest odpowiednia aktywność Polski podczas cyklicznych spotkań „Rafinery</w:t>
      </w:r>
      <w:r w:rsidR="001F64DC">
        <w:rPr>
          <w:rFonts w:ascii="Arial Narrow" w:hAnsi="Arial Narrow" w:cs="Arial"/>
          <w:szCs w:val="24"/>
        </w:rPr>
        <w:t>jnego okrągłego stołu”, który w </w:t>
      </w:r>
      <w:r w:rsidRPr="002D53A7">
        <w:rPr>
          <w:rFonts w:ascii="Arial Narrow" w:hAnsi="Arial Narrow" w:cs="Arial"/>
          <w:szCs w:val="24"/>
        </w:rPr>
        <w:t xml:space="preserve">ramach Komisji Europejskiej </w:t>
      </w:r>
      <w:r w:rsidR="009C5142">
        <w:rPr>
          <w:rFonts w:ascii="Arial Narrow" w:hAnsi="Arial Narrow" w:cs="Arial"/>
          <w:szCs w:val="24"/>
        </w:rPr>
        <w:t xml:space="preserve">podjął prace w maju 2012 roku. </w:t>
      </w:r>
    </w:p>
    <w:p w:rsidR="001F64DC" w:rsidRPr="002D53A7" w:rsidRDefault="001F64DC" w:rsidP="00FE3B86">
      <w:pPr>
        <w:jc w:val="both"/>
        <w:rPr>
          <w:rFonts w:ascii="Arial Narrow" w:hAnsi="Arial Narrow" w:cs="Arial"/>
          <w:szCs w:val="24"/>
        </w:rPr>
      </w:pPr>
    </w:p>
    <w:p w:rsidR="004E1F86" w:rsidRPr="002D53A7" w:rsidRDefault="009F408C">
      <w:pPr>
        <w:pStyle w:val="Akapitzlist"/>
        <w:numPr>
          <w:ilvl w:val="0"/>
          <w:numId w:val="2"/>
        </w:numPr>
        <w:jc w:val="both"/>
        <w:rPr>
          <w:rFonts w:ascii="Arial Narrow" w:hAnsi="Arial Narrow" w:cs="Arial"/>
          <w:b/>
          <w:sz w:val="24"/>
          <w:szCs w:val="24"/>
          <w:u w:val="single"/>
        </w:rPr>
      </w:pPr>
      <w:r w:rsidRPr="002D53A7">
        <w:rPr>
          <w:rFonts w:ascii="Arial Narrow" w:hAnsi="Arial Narrow" w:cs="Arial"/>
          <w:b/>
          <w:sz w:val="24"/>
          <w:szCs w:val="24"/>
          <w:u w:val="single"/>
        </w:rPr>
        <w:t>D</w:t>
      </w:r>
      <w:r w:rsidR="00BF3D91" w:rsidRPr="002D53A7">
        <w:rPr>
          <w:rFonts w:ascii="Arial Narrow" w:hAnsi="Arial Narrow" w:cs="Arial"/>
          <w:b/>
          <w:sz w:val="24"/>
          <w:szCs w:val="24"/>
          <w:u w:val="single"/>
        </w:rPr>
        <w:t>ialog administracji z przedstawicielami branży</w:t>
      </w:r>
    </w:p>
    <w:p w:rsidR="0017645D" w:rsidRPr="002D53A7" w:rsidRDefault="0017645D" w:rsidP="00BF3D91">
      <w:pPr>
        <w:spacing w:line="240" w:lineRule="auto"/>
        <w:jc w:val="both"/>
        <w:rPr>
          <w:rFonts w:ascii="Arial Narrow" w:hAnsi="Arial Narrow" w:cs="Arial"/>
          <w:szCs w:val="24"/>
        </w:rPr>
      </w:pPr>
      <w:proofErr w:type="spellStart"/>
      <w:r w:rsidRPr="002D53A7">
        <w:rPr>
          <w:rFonts w:ascii="Arial Narrow" w:hAnsi="Arial Narrow" w:cs="Arial"/>
          <w:szCs w:val="24"/>
        </w:rPr>
        <w:t>POPiHN</w:t>
      </w:r>
      <w:proofErr w:type="spellEnd"/>
      <w:r w:rsidRPr="002D53A7">
        <w:rPr>
          <w:rFonts w:ascii="Arial Narrow" w:hAnsi="Arial Narrow" w:cs="Arial"/>
          <w:szCs w:val="24"/>
        </w:rPr>
        <w:t xml:space="preserve"> utrzymuje bliskie kontakty robocze z szeregiem urzędów, a je</w:t>
      </w:r>
      <w:r w:rsidR="00B603B0" w:rsidRPr="002D53A7">
        <w:rPr>
          <w:rFonts w:ascii="Arial Narrow" w:hAnsi="Arial Narrow" w:cs="Arial"/>
          <w:szCs w:val="24"/>
        </w:rPr>
        <w:t>j</w:t>
      </w:r>
      <w:r w:rsidRPr="002D53A7">
        <w:rPr>
          <w:rFonts w:ascii="Arial Narrow" w:hAnsi="Arial Narrow" w:cs="Arial"/>
          <w:szCs w:val="24"/>
        </w:rPr>
        <w:t xml:space="preserve"> przedstawiciele zapraszani są do k</w:t>
      </w:r>
      <w:r w:rsidR="000C4CBA" w:rsidRPr="002D53A7">
        <w:rPr>
          <w:rFonts w:ascii="Arial Narrow" w:hAnsi="Arial Narrow" w:cs="Arial"/>
          <w:szCs w:val="24"/>
        </w:rPr>
        <w:t xml:space="preserve">onsultacji </w:t>
      </w:r>
      <w:r w:rsidRPr="002D53A7">
        <w:rPr>
          <w:rFonts w:ascii="Arial Narrow" w:hAnsi="Arial Narrow" w:cs="Arial"/>
          <w:szCs w:val="24"/>
        </w:rPr>
        <w:t xml:space="preserve">polskich i </w:t>
      </w:r>
      <w:r w:rsidR="000C4CBA" w:rsidRPr="002D53A7">
        <w:rPr>
          <w:rFonts w:ascii="Arial Narrow" w:hAnsi="Arial Narrow" w:cs="Arial"/>
          <w:szCs w:val="24"/>
        </w:rPr>
        <w:t xml:space="preserve">unijnych aktów prawa, </w:t>
      </w:r>
      <w:r w:rsidRPr="002D53A7">
        <w:rPr>
          <w:rFonts w:ascii="Arial Narrow" w:hAnsi="Arial Narrow" w:cs="Arial"/>
          <w:szCs w:val="24"/>
        </w:rPr>
        <w:t xml:space="preserve">a także uczestniczą w pracach </w:t>
      </w:r>
      <w:r w:rsidR="000C4CBA" w:rsidRPr="002D53A7">
        <w:rPr>
          <w:rFonts w:ascii="Arial Narrow" w:hAnsi="Arial Narrow" w:cs="Arial"/>
          <w:szCs w:val="24"/>
        </w:rPr>
        <w:t>Rady Konsultacyjnej ds. zapasów</w:t>
      </w:r>
      <w:r w:rsidRPr="002D53A7">
        <w:rPr>
          <w:rFonts w:ascii="Arial Narrow" w:hAnsi="Arial Narrow" w:cs="Arial"/>
          <w:szCs w:val="24"/>
        </w:rPr>
        <w:t xml:space="preserve"> </w:t>
      </w:r>
      <w:r w:rsidR="00D17F0B" w:rsidRPr="002D53A7">
        <w:rPr>
          <w:rFonts w:ascii="Arial Narrow" w:hAnsi="Arial Narrow" w:cs="Arial"/>
          <w:szCs w:val="24"/>
        </w:rPr>
        <w:t xml:space="preserve">interwencyjnych </w:t>
      </w:r>
      <w:r w:rsidRPr="002D53A7">
        <w:rPr>
          <w:rFonts w:ascii="Arial Narrow" w:hAnsi="Arial Narrow" w:cs="Arial"/>
          <w:szCs w:val="24"/>
        </w:rPr>
        <w:t>przy Prezesie ARM</w:t>
      </w:r>
      <w:r w:rsidR="000C4CBA" w:rsidRPr="002D53A7">
        <w:rPr>
          <w:rFonts w:ascii="Arial Narrow" w:hAnsi="Arial Narrow" w:cs="Arial"/>
          <w:szCs w:val="24"/>
        </w:rPr>
        <w:t>, Rady Konsul</w:t>
      </w:r>
      <w:r w:rsidRPr="002D53A7">
        <w:rPr>
          <w:rFonts w:ascii="Arial Narrow" w:hAnsi="Arial Narrow" w:cs="Arial"/>
          <w:szCs w:val="24"/>
        </w:rPr>
        <w:t xml:space="preserve">tacyjnej ds. Handlu oraz  Zespołu </w:t>
      </w:r>
      <w:r w:rsidRPr="002D53A7">
        <w:rPr>
          <w:rFonts w:ascii="Arial Narrow" w:hAnsi="Arial Narrow"/>
          <w:szCs w:val="24"/>
        </w:rPr>
        <w:t>doradczego</w:t>
      </w:r>
      <w:r w:rsidRPr="002D53A7">
        <w:rPr>
          <w:rFonts w:ascii="Arial Narrow" w:hAnsi="Arial Narrow"/>
        </w:rPr>
        <w:t xml:space="preserve"> ds. rozwiązań systemowych w sektorze energetyki przy Ministrze Gospodarki.</w:t>
      </w:r>
    </w:p>
    <w:p w:rsidR="004101A9" w:rsidRPr="002D53A7" w:rsidRDefault="004101A9" w:rsidP="009F408C">
      <w:pPr>
        <w:spacing w:line="240" w:lineRule="auto"/>
        <w:rPr>
          <w:rFonts w:ascii="Arial Narrow" w:hAnsi="Arial Narrow"/>
          <w:b/>
          <w:szCs w:val="24"/>
        </w:rPr>
      </w:pPr>
    </w:p>
    <w:p w:rsidR="009F408C" w:rsidRPr="002D53A7" w:rsidRDefault="007173D6" w:rsidP="009F408C">
      <w:pPr>
        <w:spacing w:line="240" w:lineRule="auto"/>
        <w:rPr>
          <w:rFonts w:ascii="Arial Narrow" w:hAnsi="Arial Narrow"/>
          <w:szCs w:val="24"/>
        </w:rPr>
      </w:pPr>
      <w:r w:rsidRPr="002D53A7">
        <w:rPr>
          <w:rFonts w:ascii="Arial Narrow" w:hAnsi="Arial Narrow"/>
          <w:szCs w:val="24"/>
        </w:rPr>
        <w:t xml:space="preserve">Dialog administracji z przedstawicielami branży zaowocował przyjęciem szeregu korzystnych </w:t>
      </w:r>
      <w:r w:rsidR="00232811" w:rsidRPr="002D53A7">
        <w:rPr>
          <w:rFonts w:ascii="Arial Narrow" w:hAnsi="Arial Narrow"/>
          <w:szCs w:val="24"/>
        </w:rPr>
        <w:t>rozwiązań, takich jak:</w:t>
      </w:r>
    </w:p>
    <w:p w:rsidR="009F408C" w:rsidRPr="002D53A7" w:rsidRDefault="00232811" w:rsidP="007337A4">
      <w:pPr>
        <w:pStyle w:val="Akapitzlist"/>
        <w:numPr>
          <w:ilvl w:val="0"/>
          <w:numId w:val="15"/>
        </w:numPr>
        <w:jc w:val="both"/>
        <w:rPr>
          <w:rFonts w:ascii="Arial Narrow" w:hAnsi="Arial Narrow" w:cs="Arial"/>
          <w:sz w:val="24"/>
          <w:szCs w:val="24"/>
        </w:rPr>
      </w:pPr>
      <w:r w:rsidRPr="002D53A7">
        <w:rPr>
          <w:rFonts w:ascii="Arial Narrow" w:hAnsi="Arial Narrow" w:cs="Tahoma"/>
          <w:sz w:val="24"/>
          <w:szCs w:val="24"/>
        </w:rPr>
        <w:t xml:space="preserve">21 sierpnia 2014 roku został ogłoszony tekst </w:t>
      </w:r>
      <w:r w:rsidRPr="002D53A7">
        <w:rPr>
          <w:rFonts w:ascii="Arial Narrow" w:hAnsi="Arial Narrow"/>
          <w:i/>
          <w:iCs/>
          <w:sz w:val="24"/>
          <w:szCs w:val="24"/>
        </w:rPr>
        <w:t xml:space="preserve">rozporządzenia </w:t>
      </w:r>
      <w:r w:rsidRPr="002D53A7">
        <w:rPr>
          <w:rStyle w:val="st1"/>
          <w:rFonts w:ascii="Arial Narrow" w:hAnsi="Arial Narrow" w:cs="Arial"/>
          <w:i/>
          <w:sz w:val="24"/>
          <w:szCs w:val="24"/>
        </w:rPr>
        <w:t>Mini</w:t>
      </w:r>
      <w:r w:rsidR="001F64DC">
        <w:rPr>
          <w:rStyle w:val="st1"/>
          <w:rFonts w:ascii="Arial Narrow" w:hAnsi="Arial Narrow" w:cs="Arial"/>
          <w:i/>
          <w:sz w:val="24"/>
          <w:szCs w:val="24"/>
        </w:rPr>
        <w:t>stra Infrastruktury i Rozwoju z </w:t>
      </w:r>
      <w:r w:rsidRPr="002D53A7">
        <w:rPr>
          <w:rStyle w:val="st1"/>
          <w:rFonts w:ascii="Arial Narrow" w:hAnsi="Arial Narrow" w:cs="Arial"/>
          <w:i/>
          <w:sz w:val="24"/>
          <w:szCs w:val="24"/>
        </w:rPr>
        <w:t>dnia 5 sierpnia 2014 r.</w:t>
      </w:r>
      <w:r w:rsidRPr="002D53A7">
        <w:rPr>
          <w:rFonts w:ascii="Arial Narrow" w:hAnsi="Arial Narrow"/>
          <w:i/>
          <w:iCs/>
          <w:sz w:val="24"/>
          <w:szCs w:val="24"/>
        </w:rPr>
        <w:t xml:space="preserve"> zmieniającego rozporządzenie w sprawie warunków technicznych dozoru</w:t>
      </w:r>
      <w:r w:rsidR="009F408C" w:rsidRPr="002D53A7">
        <w:rPr>
          <w:rFonts w:ascii="Arial Narrow" w:hAnsi="Arial Narrow"/>
          <w:i/>
          <w:iCs/>
          <w:sz w:val="24"/>
          <w:szCs w:val="24"/>
        </w:rPr>
        <w:t xml:space="preserve"> technicznego, jakim powinny odpowiadać urządzenia do napełniania i opróżniania zbiorników transportowych</w:t>
      </w:r>
      <w:r w:rsidR="009F408C" w:rsidRPr="002D53A7">
        <w:rPr>
          <w:rFonts w:ascii="Arial Narrow" w:hAnsi="Arial Narrow"/>
          <w:i/>
          <w:sz w:val="24"/>
          <w:szCs w:val="24"/>
        </w:rPr>
        <w:t xml:space="preserve"> (</w:t>
      </w:r>
      <w:r w:rsidR="009F408C" w:rsidRPr="002D53A7">
        <w:rPr>
          <w:rFonts w:ascii="Arial Narrow" w:hAnsi="Arial Narrow"/>
          <w:i/>
          <w:iCs/>
          <w:sz w:val="24"/>
          <w:szCs w:val="24"/>
        </w:rPr>
        <w:t>rozporządzenie NO</w:t>
      </w:r>
      <w:r w:rsidR="009F408C" w:rsidRPr="002D53A7">
        <w:rPr>
          <w:rFonts w:ascii="Arial Narrow" w:hAnsi="Arial Narrow"/>
          <w:i/>
          <w:sz w:val="24"/>
          <w:szCs w:val="24"/>
        </w:rPr>
        <w:t xml:space="preserve">). </w:t>
      </w:r>
      <w:r w:rsidR="009F408C" w:rsidRPr="002D53A7">
        <w:rPr>
          <w:rFonts w:ascii="Arial Narrow" w:hAnsi="Arial Narrow"/>
          <w:sz w:val="24"/>
          <w:szCs w:val="24"/>
        </w:rPr>
        <w:t xml:space="preserve">Zawiera on zdecydowaną większość proponowanych przez branżę rozwiązań. Tym samym zakończony został kilkuletni </w:t>
      </w:r>
      <w:r w:rsidR="007173D6" w:rsidRPr="002D53A7">
        <w:rPr>
          <w:rFonts w:ascii="Arial Narrow" w:hAnsi="Arial Narrow"/>
          <w:sz w:val="24"/>
          <w:szCs w:val="24"/>
        </w:rPr>
        <w:t>proces konsultacji</w:t>
      </w:r>
      <w:r w:rsidR="009F408C" w:rsidRPr="002D53A7">
        <w:rPr>
          <w:rFonts w:ascii="Arial Narrow" w:hAnsi="Arial Narrow"/>
          <w:sz w:val="24"/>
          <w:szCs w:val="24"/>
        </w:rPr>
        <w:t>, mający zasadnicze znaczenie dla sektora infrastruktury paliwowej</w:t>
      </w:r>
      <w:r w:rsidR="006B2EC1" w:rsidRPr="002D53A7">
        <w:rPr>
          <w:rFonts w:ascii="Arial Narrow" w:hAnsi="Arial Narrow"/>
          <w:sz w:val="24"/>
          <w:szCs w:val="24"/>
        </w:rPr>
        <w:t>, a co za tym idz</w:t>
      </w:r>
      <w:r w:rsidR="001F64DC">
        <w:rPr>
          <w:rFonts w:ascii="Arial Narrow" w:hAnsi="Arial Narrow"/>
          <w:sz w:val="24"/>
          <w:szCs w:val="24"/>
        </w:rPr>
        <w:t>ie wszystkich odbiorców paliw w </w:t>
      </w:r>
      <w:r w:rsidR="006B2EC1" w:rsidRPr="002D53A7">
        <w:rPr>
          <w:rFonts w:ascii="Arial Narrow" w:hAnsi="Arial Narrow"/>
          <w:sz w:val="24"/>
          <w:szCs w:val="24"/>
        </w:rPr>
        <w:t>Polsce</w:t>
      </w:r>
      <w:r w:rsidR="009F408C" w:rsidRPr="002D53A7">
        <w:rPr>
          <w:rFonts w:ascii="Arial Narrow" w:hAnsi="Arial Narrow"/>
          <w:sz w:val="24"/>
          <w:szCs w:val="24"/>
        </w:rPr>
        <w:t>.</w:t>
      </w:r>
      <w:r w:rsidR="009F408C" w:rsidRPr="002D53A7">
        <w:rPr>
          <w:rFonts w:ascii="Arial Narrow" w:hAnsi="Arial Narrow" w:cs="Arial"/>
          <w:sz w:val="24"/>
          <w:szCs w:val="24"/>
        </w:rPr>
        <w:t xml:space="preserve"> </w:t>
      </w:r>
    </w:p>
    <w:p w:rsidR="009F408C" w:rsidRPr="002D53A7" w:rsidRDefault="009F408C" w:rsidP="00F51623">
      <w:pPr>
        <w:spacing w:line="240" w:lineRule="auto"/>
        <w:jc w:val="both"/>
        <w:rPr>
          <w:rFonts w:ascii="Arial Narrow" w:hAnsi="Arial Narrow" w:cs="Arial"/>
          <w:szCs w:val="24"/>
        </w:rPr>
      </w:pPr>
    </w:p>
    <w:p w:rsidR="009F408C" w:rsidRPr="002D53A7" w:rsidRDefault="00232811" w:rsidP="007337A4">
      <w:pPr>
        <w:pStyle w:val="Akapitzlist"/>
        <w:numPr>
          <w:ilvl w:val="0"/>
          <w:numId w:val="15"/>
        </w:numPr>
        <w:autoSpaceDE w:val="0"/>
        <w:autoSpaceDN w:val="0"/>
        <w:adjustRightInd w:val="0"/>
        <w:jc w:val="both"/>
        <w:rPr>
          <w:rFonts w:ascii="Arial Narrow" w:hAnsi="Arial Narrow" w:cs="TimesNewRoman"/>
          <w:szCs w:val="24"/>
        </w:rPr>
      </w:pPr>
      <w:r w:rsidRPr="002D53A7">
        <w:rPr>
          <w:rFonts w:ascii="Arial Narrow" w:hAnsi="Arial Narrow"/>
          <w:szCs w:val="24"/>
        </w:rPr>
        <w:t>W wyniku wieloletnich starań środowiska akceptantów  udało się doprowadzić do regulacyjnego</w:t>
      </w:r>
      <w:r w:rsidR="007173D6" w:rsidRPr="002D53A7">
        <w:rPr>
          <w:rFonts w:ascii="Arial Narrow" w:hAnsi="Arial Narrow"/>
          <w:szCs w:val="24"/>
        </w:rPr>
        <w:t xml:space="preserve"> obniżenia opłat związanych z przyjmowaniem płatności kartami płatniczymi. </w:t>
      </w:r>
      <w:r w:rsidR="009F408C" w:rsidRPr="002D53A7">
        <w:rPr>
          <w:rFonts w:ascii="Arial Narrow" w:hAnsi="Arial Narrow" w:cs="Tahoma"/>
          <w:szCs w:val="24"/>
        </w:rPr>
        <w:t>Nowelizacja ustawy o usługach płatniczych</w:t>
      </w:r>
      <w:r w:rsidR="007173D6" w:rsidRPr="002D53A7">
        <w:rPr>
          <w:rFonts w:ascii="Arial Narrow" w:hAnsi="Arial Narrow" w:cs="Tahoma"/>
          <w:szCs w:val="24"/>
        </w:rPr>
        <w:t xml:space="preserve"> </w:t>
      </w:r>
      <w:r w:rsidR="00F51623" w:rsidRPr="002D53A7">
        <w:rPr>
          <w:rFonts w:ascii="Arial Narrow" w:hAnsi="Arial Narrow" w:cs="Tahoma"/>
          <w:szCs w:val="24"/>
        </w:rPr>
        <w:t xml:space="preserve">z </w:t>
      </w:r>
      <w:r w:rsidR="00F51623" w:rsidRPr="002D53A7">
        <w:rPr>
          <w:rFonts w:ascii="Arial Narrow" w:hAnsi="Arial Narrow" w:cs="TimesNewRoman"/>
          <w:szCs w:val="24"/>
        </w:rPr>
        <w:t xml:space="preserve">dnia 28 listopada 2014 r. </w:t>
      </w:r>
      <w:r w:rsidR="009F408C" w:rsidRPr="002D53A7">
        <w:rPr>
          <w:rFonts w:ascii="Arial Narrow" w:hAnsi="Arial Narrow" w:cs="Tahoma"/>
          <w:szCs w:val="24"/>
        </w:rPr>
        <w:t>wprowadz</w:t>
      </w:r>
      <w:r w:rsidR="007173D6" w:rsidRPr="002D53A7">
        <w:rPr>
          <w:rFonts w:ascii="Arial Narrow" w:hAnsi="Arial Narrow" w:cs="Tahoma"/>
          <w:szCs w:val="24"/>
        </w:rPr>
        <w:t xml:space="preserve">iła </w:t>
      </w:r>
      <w:r w:rsidR="009F408C" w:rsidRPr="002D53A7">
        <w:rPr>
          <w:rFonts w:ascii="Arial Narrow" w:hAnsi="Arial Narrow" w:cs="Tahoma"/>
          <w:szCs w:val="24"/>
        </w:rPr>
        <w:t>maksymalny poziom IF 0,2% dla kart debetowych oraz 0,3% dla kart kredytowych</w:t>
      </w:r>
      <w:r w:rsidR="007173D6" w:rsidRPr="002D53A7">
        <w:rPr>
          <w:rFonts w:ascii="Arial Narrow" w:hAnsi="Arial Narrow" w:cs="Tahoma"/>
          <w:szCs w:val="24"/>
        </w:rPr>
        <w:t xml:space="preserve"> oraz nowe obowiązki informacyjne dla agentów rozliczeniowych</w:t>
      </w:r>
      <w:r w:rsidR="007079E6" w:rsidRPr="002D53A7">
        <w:rPr>
          <w:rFonts w:ascii="Arial Narrow" w:hAnsi="Arial Narrow" w:cs="Tahoma"/>
          <w:szCs w:val="24"/>
        </w:rPr>
        <w:t xml:space="preserve">. Przyjęte rozwiązania – poprzez niższe koszty akceptacji płatności kartami płatniczymi i kredytowymi – będą sprzyjać dalszemu wzrostowi systemu płatności bezgotówkowych, z korzyścią dla </w:t>
      </w:r>
      <w:r w:rsidR="001F64DC">
        <w:rPr>
          <w:rFonts w:ascii="Arial Narrow" w:hAnsi="Arial Narrow" w:cs="Tahoma"/>
          <w:szCs w:val="24"/>
        </w:rPr>
        <w:t>przedsiębiorców, konsumentów, a </w:t>
      </w:r>
      <w:r w:rsidR="007079E6" w:rsidRPr="002D53A7">
        <w:rPr>
          <w:rFonts w:ascii="Arial Narrow" w:hAnsi="Arial Narrow" w:cs="Tahoma"/>
          <w:szCs w:val="24"/>
        </w:rPr>
        <w:t>także państwa (niższe koszty gotówki, ograniczenie szarej strefy).</w:t>
      </w:r>
    </w:p>
    <w:p w:rsidR="00A93C14" w:rsidRPr="002D53A7" w:rsidRDefault="00A93C14" w:rsidP="007079E6">
      <w:pPr>
        <w:spacing w:line="240" w:lineRule="auto"/>
        <w:jc w:val="both"/>
        <w:rPr>
          <w:rFonts w:ascii="Arial Narrow" w:hAnsi="Arial Narrow" w:cs="Tahoma"/>
          <w:szCs w:val="24"/>
        </w:rPr>
      </w:pPr>
    </w:p>
    <w:p w:rsidR="008C001E" w:rsidRPr="002D53A7" w:rsidRDefault="00A93C14" w:rsidP="007337A4">
      <w:pPr>
        <w:pStyle w:val="Akapitzlist"/>
        <w:numPr>
          <w:ilvl w:val="0"/>
          <w:numId w:val="15"/>
        </w:numPr>
        <w:jc w:val="both"/>
        <w:rPr>
          <w:rFonts w:ascii="Arial Narrow" w:hAnsi="Arial Narrow"/>
          <w:szCs w:val="24"/>
        </w:rPr>
      </w:pPr>
      <w:r w:rsidRPr="002D53A7">
        <w:rPr>
          <w:rFonts w:ascii="Arial Narrow" w:hAnsi="Arial Narrow" w:cs="Tahoma"/>
          <w:szCs w:val="24"/>
        </w:rPr>
        <w:t>Z dniem 1 stycznia</w:t>
      </w:r>
      <w:r w:rsidR="00782BD6" w:rsidRPr="002D53A7">
        <w:rPr>
          <w:rFonts w:ascii="Arial Narrow" w:hAnsi="Arial Narrow" w:cs="Tahoma"/>
          <w:szCs w:val="24"/>
        </w:rPr>
        <w:t xml:space="preserve"> 2014 r. ostatecznie</w:t>
      </w:r>
      <w:r w:rsidRPr="002D53A7">
        <w:rPr>
          <w:rFonts w:ascii="Arial Narrow" w:hAnsi="Arial Narrow" w:cs="Tahoma"/>
          <w:szCs w:val="24"/>
        </w:rPr>
        <w:t xml:space="preserve"> weszły w życie </w:t>
      </w:r>
      <w:r w:rsidR="00232811" w:rsidRPr="002D53A7">
        <w:rPr>
          <w:rFonts w:ascii="Arial Narrow" w:hAnsi="Arial Narrow"/>
          <w:szCs w:val="24"/>
        </w:rPr>
        <w:t xml:space="preserve">wymagania w zakresie ochrony środowiska na stacjach paliw, określone w </w:t>
      </w:r>
      <w:r w:rsidR="007337A4">
        <w:rPr>
          <w:rFonts w:ascii="Arial Narrow" w:hAnsi="Arial Narrow"/>
          <w:szCs w:val="24"/>
        </w:rPr>
        <w:t xml:space="preserve">par. </w:t>
      </w:r>
      <w:r w:rsidR="00232811" w:rsidRPr="002D53A7">
        <w:rPr>
          <w:rFonts w:ascii="Arial Narrow" w:hAnsi="Arial Narrow" w:cs="Arial"/>
          <w:szCs w:val="24"/>
        </w:rPr>
        <w:t>177 rozporządzenia</w:t>
      </w:r>
      <w:r w:rsidR="00870F6F" w:rsidRPr="002D53A7">
        <w:rPr>
          <w:rFonts w:ascii="Arial Narrow" w:hAnsi="Arial Narrow" w:cs="Arial"/>
          <w:szCs w:val="24"/>
        </w:rPr>
        <w:t xml:space="preserve"> Ministra Gospodarki z dnia 21 listopada 2005 r. w sprawie warunków technicznych, jakim powinny odpowiadać bazy i stacje paliw płynnych, rurociągi przesyłowe dalekosiężne służące do transportu ropy naftowej i produkt</w:t>
      </w:r>
      <w:r w:rsidR="00782BD6" w:rsidRPr="002D53A7">
        <w:rPr>
          <w:rFonts w:ascii="Arial Narrow" w:hAnsi="Arial Narrow" w:cs="Arial"/>
          <w:szCs w:val="24"/>
        </w:rPr>
        <w:t>ów naftowych i ich usytuowanie</w:t>
      </w:r>
      <w:r w:rsidR="00870F6F" w:rsidRPr="002D53A7">
        <w:rPr>
          <w:rFonts w:ascii="Arial Narrow" w:hAnsi="Arial Narrow" w:cs="Arial"/>
          <w:szCs w:val="24"/>
        </w:rPr>
        <w:t>.</w:t>
      </w:r>
      <w:r w:rsidR="00782BD6" w:rsidRPr="002D53A7">
        <w:rPr>
          <w:rFonts w:ascii="Arial Narrow" w:hAnsi="Arial Narrow" w:cs="Arial"/>
          <w:szCs w:val="24"/>
        </w:rPr>
        <w:t xml:space="preserve"> N</w:t>
      </w:r>
      <w:r w:rsidR="00870F6F" w:rsidRPr="002D53A7">
        <w:rPr>
          <w:rFonts w:ascii="Arial Narrow" w:hAnsi="Arial Narrow" w:cs="Arial"/>
          <w:szCs w:val="24"/>
        </w:rPr>
        <w:t>a</w:t>
      </w:r>
      <w:r w:rsidR="00782BD6" w:rsidRPr="002D53A7">
        <w:rPr>
          <w:rFonts w:ascii="Arial Narrow" w:hAnsi="Arial Narrow" w:cs="Arial"/>
          <w:szCs w:val="24"/>
        </w:rPr>
        <w:t>łożył</w:t>
      </w:r>
      <w:r w:rsidR="00D17F0B" w:rsidRPr="002D53A7">
        <w:rPr>
          <w:rFonts w:ascii="Arial Narrow" w:hAnsi="Arial Narrow" w:cs="Arial"/>
          <w:szCs w:val="24"/>
        </w:rPr>
        <w:t>y</w:t>
      </w:r>
      <w:r w:rsidR="00782BD6" w:rsidRPr="002D53A7">
        <w:rPr>
          <w:rFonts w:ascii="Arial Narrow" w:hAnsi="Arial Narrow" w:cs="Arial"/>
          <w:szCs w:val="24"/>
        </w:rPr>
        <w:t xml:space="preserve"> one </w:t>
      </w:r>
      <w:r w:rsidR="00870F6F" w:rsidRPr="002D53A7">
        <w:rPr>
          <w:rFonts w:ascii="Arial Narrow" w:hAnsi="Arial Narrow" w:cs="Arial"/>
          <w:szCs w:val="24"/>
        </w:rPr>
        <w:t xml:space="preserve">na właścicieli stacji, wybudowanych przed 2005 rokiem, obowiązek </w:t>
      </w:r>
      <w:r w:rsidR="00D17F0B" w:rsidRPr="002D53A7">
        <w:rPr>
          <w:rFonts w:ascii="Arial Narrow" w:hAnsi="Arial Narrow" w:cs="Arial"/>
          <w:szCs w:val="24"/>
        </w:rPr>
        <w:t xml:space="preserve">modernizacji zbiorników, </w:t>
      </w:r>
      <w:r w:rsidR="00870F6F" w:rsidRPr="002D53A7">
        <w:rPr>
          <w:rFonts w:ascii="Arial Narrow" w:hAnsi="Arial Narrow" w:cs="Arial"/>
          <w:szCs w:val="24"/>
        </w:rPr>
        <w:t>wyposażenia stacji w urządzenia do monitorowania wycieków paliw do gruntu, wód powierzchniowych i gruntowych</w:t>
      </w:r>
      <w:r w:rsidR="00782BD6" w:rsidRPr="002D53A7">
        <w:rPr>
          <w:rFonts w:ascii="Arial Narrow" w:hAnsi="Arial Narrow" w:cs="Arial"/>
          <w:szCs w:val="24"/>
        </w:rPr>
        <w:t>, sprzyjając poprawie ochrony środowiska, a także warunkom równej konkurencji przedsiębiorców, prowadzących stacje paliw</w:t>
      </w:r>
      <w:r w:rsidR="00870F6F" w:rsidRPr="002D53A7">
        <w:rPr>
          <w:rFonts w:ascii="Arial Narrow" w:hAnsi="Arial Narrow" w:cs="Arial"/>
          <w:szCs w:val="24"/>
        </w:rPr>
        <w:t xml:space="preserve">. </w:t>
      </w:r>
      <w:r w:rsidR="008C001E" w:rsidRPr="002D53A7">
        <w:rPr>
          <w:rFonts w:ascii="Arial Narrow" w:hAnsi="Arial Narrow"/>
          <w:szCs w:val="24"/>
        </w:rPr>
        <w:t xml:space="preserve">  </w:t>
      </w:r>
    </w:p>
    <w:p w:rsidR="008C001E" w:rsidRPr="002D53A7" w:rsidRDefault="008C001E" w:rsidP="00BF3D91">
      <w:pPr>
        <w:spacing w:line="240" w:lineRule="auto"/>
        <w:rPr>
          <w:rFonts w:ascii="Arial Narrow" w:hAnsi="Arial Narrow"/>
          <w:szCs w:val="24"/>
        </w:rPr>
      </w:pPr>
    </w:p>
    <w:sectPr w:rsidR="008C001E" w:rsidRPr="002D53A7" w:rsidSect="000056EF">
      <w:headerReference w:type="even" r:id="rId9"/>
      <w:headerReference w:type="default" r:id="rId10"/>
      <w:footerReference w:type="even" r:id="rId11"/>
      <w:footerReference w:type="default" r:id="rId12"/>
      <w:type w:val="continuous"/>
      <w:pgSz w:w="11906" w:h="16838" w:code="9"/>
      <w:pgMar w:top="568" w:right="1274" w:bottom="426" w:left="1276" w:header="709"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0" w:rsidRDefault="00F24140">
      <w:r>
        <w:separator/>
      </w:r>
    </w:p>
  </w:endnote>
  <w:endnote w:type="continuationSeparator" w:id="0">
    <w:p w:rsidR="00F24140" w:rsidRDefault="00F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190"/>
      <w:docPartObj>
        <w:docPartGallery w:val="Page Numbers (Bottom of Page)"/>
        <w:docPartUnique/>
      </w:docPartObj>
    </w:sdtPr>
    <w:sdtEndPr/>
    <w:sdtContent>
      <w:p w:rsidR="00E9717A" w:rsidRDefault="00232811">
        <w:pPr>
          <w:pStyle w:val="Stopka"/>
          <w:jc w:val="right"/>
        </w:pPr>
        <w:r w:rsidRPr="00E9717A">
          <w:rPr>
            <w:rFonts w:ascii="Cambria" w:hAnsi="Cambria"/>
            <w:sz w:val="18"/>
          </w:rPr>
          <w:fldChar w:fldCharType="begin"/>
        </w:r>
        <w:r w:rsidR="00E9717A" w:rsidRPr="00E9717A">
          <w:rPr>
            <w:rFonts w:ascii="Cambria" w:hAnsi="Cambria"/>
            <w:sz w:val="18"/>
          </w:rPr>
          <w:instrText xml:space="preserve"> PAGE   \* MERGEFORMAT </w:instrText>
        </w:r>
        <w:r w:rsidRPr="00E9717A">
          <w:rPr>
            <w:rFonts w:ascii="Cambria" w:hAnsi="Cambria"/>
            <w:sz w:val="18"/>
          </w:rPr>
          <w:fldChar w:fldCharType="separate"/>
        </w:r>
        <w:r w:rsidR="006640C1">
          <w:rPr>
            <w:rFonts w:ascii="Cambria" w:hAnsi="Cambria"/>
            <w:noProof/>
            <w:sz w:val="18"/>
          </w:rPr>
          <w:t>8</w:t>
        </w:r>
        <w:r w:rsidRPr="00E9717A">
          <w:rPr>
            <w:rFonts w:ascii="Cambria" w:hAnsi="Cambria"/>
            <w:sz w:val="18"/>
          </w:rPr>
          <w:fldChar w:fldCharType="end"/>
        </w:r>
      </w:p>
    </w:sdtContent>
  </w:sdt>
  <w:p w:rsidR="00D0590F" w:rsidRDefault="00D0590F" w:rsidP="007F51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191"/>
      <w:docPartObj>
        <w:docPartGallery w:val="Page Numbers (Bottom of Page)"/>
        <w:docPartUnique/>
      </w:docPartObj>
    </w:sdtPr>
    <w:sdtEndPr>
      <w:rPr>
        <w:rFonts w:ascii="Cambria" w:hAnsi="Cambria"/>
        <w:sz w:val="18"/>
      </w:rPr>
    </w:sdtEndPr>
    <w:sdtContent>
      <w:p w:rsidR="00E9717A" w:rsidRPr="00E9717A" w:rsidRDefault="00232811">
        <w:pPr>
          <w:pStyle w:val="Stopka"/>
          <w:jc w:val="right"/>
          <w:rPr>
            <w:rFonts w:ascii="Cambria" w:hAnsi="Cambria"/>
            <w:sz w:val="18"/>
          </w:rPr>
        </w:pPr>
        <w:r w:rsidRPr="00E9717A">
          <w:rPr>
            <w:rFonts w:ascii="Cambria" w:hAnsi="Cambria"/>
            <w:sz w:val="18"/>
          </w:rPr>
          <w:fldChar w:fldCharType="begin"/>
        </w:r>
        <w:r w:rsidR="00E9717A" w:rsidRPr="00E9717A">
          <w:rPr>
            <w:rFonts w:ascii="Cambria" w:hAnsi="Cambria"/>
            <w:sz w:val="18"/>
          </w:rPr>
          <w:instrText xml:space="preserve"> PAGE   \* MERGEFORMAT </w:instrText>
        </w:r>
        <w:r w:rsidRPr="00E9717A">
          <w:rPr>
            <w:rFonts w:ascii="Cambria" w:hAnsi="Cambria"/>
            <w:sz w:val="18"/>
          </w:rPr>
          <w:fldChar w:fldCharType="separate"/>
        </w:r>
        <w:r w:rsidR="006640C1">
          <w:rPr>
            <w:rFonts w:ascii="Cambria" w:hAnsi="Cambria"/>
            <w:noProof/>
            <w:sz w:val="18"/>
          </w:rPr>
          <w:t>1</w:t>
        </w:r>
        <w:r w:rsidRPr="00E9717A">
          <w:rPr>
            <w:rFonts w:ascii="Cambria" w:hAnsi="Cambria"/>
            <w:sz w:val="18"/>
          </w:rPr>
          <w:fldChar w:fldCharType="end"/>
        </w:r>
      </w:p>
    </w:sdtContent>
  </w:sdt>
  <w:p w:rsidR="00E9717A" w:rsidRDefault="00E971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0" w:rsidRDefault="00F24140">
      <w:r>
        <w:separator/>
      </w:r>
    </w:p>
  </w:footnote>
  <w:footnote w:type="continuationSeparator" w:id="0">
    <w:p w:rsidR="00F24140" w:rsidRDefault="00F2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F8" w:rsidRDefault="008458F8">
    <w:pPr>
      <w:pStyle w:val="Nagwek"/>
    </w:pPr>
    <w:r>
      <w:rPr>
        <w:noProof/>
        <w:lang w:val="pl-PL"/>
      </w:rPr>
      <w:drawing>
        <wp:inline distT="0" distB="0" distL="0" distR="0" wp14:anchorId="70A21108" wp14:editId="14744D61">
          <wp:extent cx="2586128" cy="396480"/>
          <wp:effectExtent l="19050" t="0" r="4672" b="0"/>
          <wp:docPr id="2" name="Obraz 2"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tek"/>
                  <pic:cNvPicPr>
                    <a:picLocks noChangeAspect="1" noChangeArrowheads="1"/>
                  </pic:cNvPicPr>
                </pic:nvPicPr>
                <pic:blipFill>
                  <a:blip r:embed="rId1"/>
                  <a:srcRect/>
                  <a:stretch>
                    <a:fillRect/>
                  </a:stretch>
                </pic:blipFill>
                <pic:spPr bwMode="auto">
                  <a:xfrm>
                    <a:off x="0" y="0"/>
                    <a:ext cx="2587829" cy="39674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0F" w:rsidRDefault="00D0590F" w:rsidP="002B3B99">
    <w:pPr>
      <w:pStyle w:val="Nagwek"/>
      <w:ind w:left="-142"/>
    </w:pPr>
    <w:r>
      <w:rPr>
        <w:noProof/>
        <w:lang w:val="pl-PL"/>
      </w:rPr>
      <w:drawing>
        <wp:inline distT="0" distB="0" distL="0" distR="0">
          <wp:extent cx="2586128" cy="396480"/>
          <wp:effectExtent l="19050" t="0" r="4672" b="0"/>
          <wp:docPr id="1" name="Obraz 1"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jtek"/>
                  <pic:cNvPicPr>
                    <a:picLocks noChangeAspect="1" noChangeArrowheads="1"/>
                  </pic:cNvPicPr>
                </pic:nvPicPr>
                <pic:blipFill>
                  <a:blip r:embed="rId1"/>
                  <a:srcRect/>
                  <a:stretch>
                    <a:fillRect/>
                  </a:stretch>
                </pic:blipFill>
                <pic:spPr bwMode="auto">
                  <a:xfrm>
                    <a:off x="0" y="0"/>
                    <a:ext cx="2587829" cy="3967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3CF"/>
    <w:multiLevelType w:val="hybridMultilevel"/>
    <w:tmpl w:val="FE1055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FE57790"/>
    <w:multiLevelType w:val="hybridMultilevel"/>
    <w:tmpl w:val="AC06E67C"/>
    <w:lvl w:ilvl="0" w:tplc="E82C70C8">
      <w:start w:val="1"/>
      <w:numFmt w:val="decimal"/>
      <w:lvlText w:val="%1."/>
      <w:lvlJc w:val="left"/>
      <w:pPr>
        <w:tabs>
          <w:tab w:val="num" w:pos="720"/>
        </w:tabs>
        <w:ind w:left="720" w:hanging="360"/>
      </w:pPr>
      <w:rPr>
        <w:rFonts w:asciiTheme="majorHAnsi" w:eastAsia="+mn-ea" w:hAnsiTheme="majorHAnsi" w:cs="+mn-cs"/>
      </w:rPr>
    </w:lvl>
    <w:lvl w:ilvl="1" w:tplc="A5AE74AE" w:tentative="1">
      <w:start w:val="1"/>
      <w:numFmt w:val="bullet"/>
      <w:lvlText w:val=""/>
      <w:lvlJc w:val="left"/>
      <w:pPr>
        <w:tabs>
          <w:tab w:val="num" w:pos="1440"/>
        </w:tabs>
        <w:ind w:left="1440" w:hanging="360"/>
      </w:pPr>
      <w:rPr>
        <w:rFonts w:ascii="Wingdings" w:hAnsi="Wingdings" w:hint="default"/>
      </w:rPr>
    </w:lvl>
    <w:lvl w:ilvl="2" w:tplc="AB58B956" w:tentative="1">
      <w:start w:val="1"/>
      <w:numFmt w:val="bullet"/>
      <w:lvlText w:val=""/>
      <w:lvlJc w:val="left"/>
      <w:pPr>
        <w:tabs>
          <w:tab w:val="num" w:pos="2160"/>
        </w:tabs>
        <w:ind w:left="2160" w:hanging="360"/>
      </w:pPr>
      <w:rPr>
        <w:rFonts w:ascii="Wingdings" w:hAnsi="Wingdings" w:hint="default"/>
      </w:rPr>
    </w:lvl>
    <w:lvl w:ilvl="3" w:tplc="C40A4460" w:tentative="1">
      <w:start w:val="1"/>
      <w:numFmt w:val="bullet"/>
      <w:lvlText w:val=""/>
      <w:lvlJc w:val="left"/>
      <w:pPr>
        <w:tabs>
          <w:tab w:val="num" w:pos="2880"/>
        </w:tabs>
        <w:ind w:left="2880" w:hanging="360"/>
      </w:pPr>
      <w:rPr>
        <w:rFonts w:ascii="Wingdings" w:hAnsi="Wingdings" w:hint="default"/>
      </w:rPr>
    </w:lvl>
    <w:lvl w:ilvl="4" w:tplc="83027B9C" w:tentative="1">
      <w:start w:val="1"/>
      <w:numFmt w:val="bullet"/>
      <w:lvlText w:val=""/>
      <w:lvlJc w:val="left"/>
      <w:pPr>
        <w:tabs>
          <w:tab w:val="num" w:pos="3600"/>
        </w:tabs>
        <w:ind w:left="3600" w:hanging="360"/>
      </w:pPr>
      <w:rPr>
        <w:rFonts w:ascii="Wingdings" w:hAnsi="Wingdings" w:hint="default"/>
      </w:rPr>
    </w:lvl>
    <w:lvl w:ilvl="5" w:tplc="B37062E2" w:tentative="1">
      <w:start w:val="1"/>
      <w:numFmt w:val="bullet"/>
      <w:lvlText w:val=""/>
      <w:lvlJc w:val="left"/>
      <w:pPr>
        <w:tabs>
          <w:tab w:val="num" w:pos="4320"/>
        </w:tabs>
        <w:ind w:left="4320" w:hanging="360"/>
      </w:pPr>
      <w:rPr>
        <w:rFonts w:ascii="Wingdings" w:hAnsi="Wingdings" w:hint="default"/>
      </w:rPr>
    </w:lvl>
    <w:lvl w:ilvl="6" w:tplc="D270A5CE" w:tentative="1">
      <w:start w:val="1"/>
      <w:numFmt w:val="bullet"/>
      <w:lvlText w:val=""/>
      <w:lvlJc w:val="left"/>
      <w:pPr>
        <w:tabs>
          <w:tab w:val="num" w:pos="5040"/>
        </w:tabs>
        <w:ind w:left="5040" w:hanging="360"/>
      </w:pPr>
      <w:rPr>
        <w:rFonts w:ascii="Wingdings" w:hAnsi="Wingdings" w:hint="default"/>
      </w:rPr>
    </w:lvl>
    <w:lvl w:ilvl="7" w:tplc="4776DB34" w:tentative="1">
      <w:start w:val="1"/>
      <w:numFmt w:val="bullet"/>
      <w:lvlText w:val=""/>
      <w:lvlJc w:val="left"/>
      <w:pPr>
        <w:tabs>
          <w:tab w:val="num" w:pos="5760"/>
        </w:tabs>
        <w:ind w:left="5760" w:hanging="360"/>
      </w:pPr>
      <w:rPr>
        <w:rFonts w:ascii="Wingdings" w:hAnsi="Wingdings" w:hint="default"/>
      </w:rPr>
    </w:lvl>
    <w:lvl w:ilvl="8" w:tplc="DA36D8B6" w:tentative="1">
      <w:start w:val="1"/>
      <w:numFmt w:val="bullet"/>
      <w:lvlText w:val=""/>
      <w:lvlJc w:val="left"/>
      <w:pPr>
        <w:tabs>
          <w:tab w:val="num" w:pos="6480"/>
        </w:tabs>
        <w:ind w:left="6480" w:hanging="360"/>
      </w:pPr>
      <w:rPr>
        <w:rFonts w:ascii="Wingdings" w:hAnsi="Wingdings" w:hint="default"/>
      </w:rPr>
    </w:lvl>
  </w:abstractNum>
  <w:abstractNum w:abstractNumId="2">
    <w:nsid w:val="1E0155D3"/>
    <w:multiLevelType w:val="multilevel"/>
    <w:tmpl w:val="F18E8238"/>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5D505FB"/>
    <w:multiLevelType w:val="hybridMultilevel"/>
    <w:tmpl w:val="94CE1B58"/>
    <w:lvl w:ilvl="0" w:tplc="7072279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01C93"/>
    <w:multiLevelType w:val="hybridMultilevel"/>
    <w:tmpl w:val="0CC40C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35D290F"/>
    <w:multiLevelType w:val="hybridMultilevel"/>
    <w:tmpl w:val="7DEC5240"/>
    <w:lvl w:ilvl="0" w:tplc="3BA8112E">
      <w:start w:val="9"/>
      <w:numFmt w:val="lowerLetter"/>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3C0F4F"/>
    <w:multiLevelType w:val="hybridMultilevel"/>
    <w:tmpl w:val="67746E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CE1F42"/>
    <w:multiLevelType w:val="hybridMultilevel"/>
    <w:tmpl w:val="F3D4C7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341E8E"/>
    <w:multiLevelType w:val="hybridMultilevel"/>
    <w:tmpl w:val="D4C2B8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C01D81"/>
    <w:multiLevelType w:val="multilevel"/>
    <w:tmpl w:val="406604F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630F753F"/>
    <w:multiLevelType w:val="hybridMultilevel"/>
    <w:tmpl w:val="486CC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3A3C7C"/>
    <w:multiLevelType w:val="hybridMultilevel"/>
    <w:tmpl w:val="3196B6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4D5933"/>
    <w:multiLevelType w:val="hybridMultilevel"/>
    <w:tmpl w:val="0CC40C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C6F1EBF"/>
    <w:multiLevelType w:val="hybridMultilevel"/>
    <w:tmpl w:val="CDD64B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9"/>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
  </w:num>
  <w:num w:numId="10">
    <w:abstractNumId w:val="0"/>
  </w:num>
  <w:num w:numId="11">
    <w:abstractNumId w:val="4"/>
  </w:num>
  <w:num w:numId="12">
    <w:abstractNumId w:val="3"/>
  </w:num>
  <w:num w:numId="13">
    <w:abstractNumId w:val="5"/>
  </w:num>
  <w:num w:numId="14">
    <w:abstractNumId w:val="6"/>
  </w:num>
  <w:num w:numId="15">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zek">
    <w15:presenceInfo w15:providerId="None" w15:userId="Le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F7"/>
    <w:rsid w:val="000019EE"/>
    <w:rsid w:val="00003024"/>
    <w:rsid w:val="0000309A"/>
    <w:rsid w:val="00004BDC"/>
    <w:rsid w:val="000056EF"/>
    <w:rsid w:val="00006F3F"/>
    <w:rsid w:val="00011621"/>
    <w:rsid w:val="00013AEE"/>
    <w:rsid w:val="000146A8"/>
    <w:rsid w:val="000203ED"/>
    <w:rsid w:val="0002095F"/>
    <w:rsid w:val="00021BDE"/>
    <w:rsid w:val="000278D4"/>
    <w:rsid w:val="00027BAF"/>
    <w:rsid w:val="00031A91"/>
    <w:rsid w:val="000335D0"/>
    <w:rsid w:val="000348DE"/>
    <w:rsid w:val="00036DBF"/>
    <w:rsid w:val="00036E3D"/>
    <w:rsid w:val="00040060"/>
    <w:rsid w:val="0004040E"/>
    <w:rsid w:val="0004209E"/>
    <w:rsid w:val="00042D8F"/>
    <w:rsid w:val="0004318F"/>
    <w:rsid w:val="00043395"/>
    <w:rsid w:val="000551D6"/>
    <w:rsid w:val="0005587B"/>
    <w:rsid w:val="00055ABA"/>
    <w:rsid w:val="000574CA"/>
    <w:rsid w:val="000612B9"/>
    <w:rsid w:val="00061323"/>
    <w:rsid w:val="00061ECF"/>
    <w:rsid w:val="000625E9"/>
    <w:rsid w:val="00064FF3"/>
    <w:rsid w:val="0006697D"/>
    <w:rsid w:val="00066BA5"/>
    <w:rsid w:val="000711CE"/>
    <w:rsid w:val="0007224A"/>
    <w:rsid w:val="000723BC"/>
    <w:rsid w:val="00073D5D"/>
    <w:rsid w:val="000752E4"/>
    <w:rsid w:val="00080AC9"/>
    <w:rsid w:val="00080E43"/>
    <w:rsid w:val="00081C5F"/>
    <w:rsid w:val="0008416C"/>
    <w:rsid w:val="000870C6"/>
    <w:rsid w:val="0008755A"/>
    <w:rsid w:val="00092C0E"/>
    <w:rsid w:val="00095F75"/>
    <w:rsid w:val="00096509"/>
    <w:rsid w:val="000A46B9"/>
    <w:rsid w:val="000A74B7"/>
    <w:rsid w:val="000B0BB5"/>
    <w:rsid w:val="000B16A9"/>
    <w:rsid w:val="000B305A"/>
    <w:rsid w:val="000B5B9D"/>
    <w:rsid w:val="000B5C02"/>
    <w:rsid w:val="000B6E98"/>
    <w:rsid w:val="000C380C"/>
    <w:rsid w:val="000C4CBA"/>
    <w:rsid w:val="000C59AA"/>
    <w:rsid w:val="000C7BCF"/>
    <w:rsid w:val="000D11FB"/>
    <w:rsid w:val="000D1342"/>
    <w:rsid w:val="000D2A47"/>
    <w:rsid w:val="000D2F4F"/>
    <w:rsid w:val="000D39B5"/>
    <w:rsid w:val="000E0449"/>
    <w:rsid w:val="000E28E9"/>
    <w:rsid w:val="000E2CB8"/>
    <w:rsid w:val="000F3AFD"/>
    <w:rsid w:val="000F5075"/>
    <w:rsid w:val="000F528E"/>
    <w:rsid w:val="000F64BD"/>
    <w:rsid w:val="000F6AE1"/>
    <w:rsid w:val="000F7360"/>
    <w:rsid w:val="00103EDA"/>
    <w:rsid w:val="00111532"/>
    <w:rsid w:val="00111C09"/>
    <w:rsid w:val="00115F2A"/>
    <w:rsid w:val="00117154"/>
    <w:rsid w:val="001216C1"/>
    <w:rsid w:val="00122574"/>
    <w:rsid w:val="00127A8B"/>
    <w:rsid w:val="0013184E"/>
    <w:rsid w:val="00135ADC"/>
    <w:rsid w:val="0013721B"/>
    <w:rsid w:val="001417BB"/>
    <w:rsid w:val="00142EE0"/>
    <w:rsid w:val="00157612"/>
    <w:rsid w:val="0016142D"/>
    <w:rsid w:val="00165021"/>
    <w:rsid w:val="00166B73"/>
    <w:rsid w:val="00167B54"/>
    <w:rsid w:val="00167D0D"/>
    <w:rsid w:val="001708F3"/>
    <w:rsid w:val="00172B7A"/>
    <w:rsid w:val="0017645D"/>
    <w:rsid w:val="00180A49"/>
    <w:rsid w:val="00180F8A"/>
    <w:rsid w:val="00182ABB"/>
    <w:rsid w:val="00183696"/>
    <w:rsid w:val="00184343"/>
    <w:rsid w:val="001874D7"/>
    <w:rsid w:val="0019103B"/>
    <w:rsid w:val="00196A83"/>
    <w:rsid w:val="001A49C8"/>
    <w:rsid w:val="001A54D9"/>
    <w:rsid w:val="001A57A6"/>
    <w:rsid w:val="001B0BA9"/>
    <w:rsid w:val="001B3C85"/>
    <w:rsid w:val="001B40F0"/>
    <w:rsid w:val="001B55AC"/>
    <w:rsid w:val="001B6789"/>
    <w:rsid w:val="001C0CD3"/>
    <w:rsid w:val="001C1D9C"/>
    <w:rsid w:val="001C2B2A"/>
    <w:rsid w:val="001C45DE"/>
    <w:rsid w:val="001D24F1"/>
    <w:rsid w:val="001D2B92"/>
    <w:rsid w:val="001D5D61"/>
    <w:rsid w:val="001D6B74"/>
    <w:rsid w:val="001D6C57"/>
    <w:rsid w:val="001E4AC9"/>
    <w:rsid w:val="001F04E4"/>
    <w:rsid w:val="001F1622"/>
    <w:rsid w:val="001F23AE"/>
    <w:rsid w:val="001F36BF"/>
    <w:rsid w:val="001F52BB"/>
    <w:rsid w:val="001F64DC"/>
    <w:rsid w:val="002006EA"/>
    <w:rsid w:val="0020084E"/>
    <w:rsid w:val="00202278"/>
    <w:rsid w:val="002037C1"/>
    <w:rsid w:val="002049F0"/>
    <w:rsid w:val="0021010B"/>
    <w:rsid w:val="00215B7C"/>
    <w:rsid w:val="00230FB9"/>
    <w:rsid w:val="002327A5"/>
    <w:rsid w:val="00232811"/>
    <w:rsid w:val="00234986"/>
    <w:rsid w:val="0023513E"/>
    <w:rsid w:val="0023582E"/>
    <w:rsid w:val="00236D76"/>
    <w:rsid w:val="00242EB6"/>
    <w:rsid w:val="002430DF"/>
    <w:rsid w:val="0024392D"/>
    <w:rsid w:val="00244306"/>
    <w:rsid w:val="00244FAE"/>
    <w:rsid w:val="00246714"/>
    <w:rsid w:val="00256987"/>
    <w:rsid w:val="00262461"/>
    <w:rsid w:val="002625DB"/>
    <w:rsid w:val="00262603"/>
    <w:rsid w:val="00262EEC"/>
    <w:rsid w:val="002635C1"/>
    <w:rsid w:val="002636C3"/>
    <w:rsid w:val="00263B89"/>
    <w:rsid w:val="0026431D"/>
    <w:rsid w:val="00264940"/>
    <w:rsid w:val="002653B9"/>
    <w:rsid w:val="002669BB"/>
    <w:rsid w:val="002676CA"/>
    <w:rsid w:val="00271FE2"/>
    <w:rsid w:val="00275C7F"/>
    <w:rsid w:val="00276532"/>
    <w:rsid w:val="002816FD"/>
    <w:rsid w:val="00282465"/>
    <w:rsid w:val="002831FB"/>
    <w:rsid w:val="002834C6"/>
    <w:rsid w:val="00283E48"/>
    <w:rsid w:val="00286DA0"/>
    <w:rsid w:val="00292880"/>
    <w:rsid w:val="002A0265"/>
    <w:rsid w:val="002A12F9"/>
    <w:rsid w:val="002A1621"/>
    <w:rsid w:val="002A28A3"/>
    <w:rsid w:val="002A5919"/>
    <w:rsid w:val="002A648E"/>
    <w:rsid w:val="002A7437"/>
    <w:rsid w:val="002A7617"/>
    <w:rsid w:val="002B3B99"/>
    <w:rsid w:val="002B3C72"/>
    <w:rsid w:val="002B411A"/>
    <w:rsid w:val="002B466D"/>
    <w:rsid w:val="002B53BF"/>
    <w:rsid w:val="002B5502"/>
    <w:rsid w:val="002C073A"/>
    <w:rsid w:val="002C0EF3"/>
    <w:rsid w:val="002C30EE"/>
    <w:rsid w:val="002C4581"/>
    <w:rsid w:val="002C4936"/>
    <w:rsid w:val="002C5552"/>
    <w:rsid w:val="002C75B3"/>
    <w:rsid w:val="002C7634"/>
    <w:rsid w:val="002D12E6"/>
    <w:rsid w:val="002D1DFF"/>
    <w:rsid w:val="002D2F7E"/>
    <w:rsid w:val="002D53A7"/>
    <w:rsid w:val="002E0818"/>
    <w:rsid w:val="002E4D7E"/>
    <w:rsid w:val="002E5010"/>
    <w:rsid w:val="002E55FD"/>
    <w:rsid w:val="002F06E3"/>
    <w:rsid w:val="002F2E19"/>
    <w:rsid w:val="002F4A78"/>
    <w:rsid w:val="002F56A7"/>
    <w:rsid w:val="002F57A0"/>
    <w:rsid w:val="002F76F7"/>
    <w:rsid w:val="00305B4D"/>
    <w:rsid w:val="003073D0"/>
    <w:rsid w:val="003132E5"/>
    <w:rsid w:val="00316AF3"/>
    <w:rsid w:val="00322E86"/>
    <w:rsid w:val="003233A4"/>
    <w:rsid w:val="00324009"/>
    <w:rsid w:val="003240C4"/>
    <w:rsid w:val="00327745"/>
    <w:rsid w:val="00327942"/>
    <w:rsid w:val="00336681"/>
    <w:rsid w:val="00336D17"/>
    <w:rsid w:val="00341493"/>
    <w:rsid w:val="00342617"/>
    <w:rsid w:val="00352331"/>
    <w:rsid w:val="00354E8F"/>
    <w:rsid w:val="00355FD4"/>
    <w:rsid w:val="00360802"/>
    <w:rsid w:val="00361B98"/>
    <w:rsid w:val="003624A5"/>
    <w:rsid w:val="003638A8"/>
    <w:rsid w:val="0036522E"/>
    <w:rsid w:val="00366992"/>
    <w:rsid w:val="00370228"/>
    <w:rsid w:val="003710B7"/>
    <w:rsid w:val="003713A8"/>
    <w:rsid w:val="003731A5"/>
    <w:rsid w:val="00373C8E"/>
    <w:rsid w:val="00375A71"/>
    <w:rsid w:val="00377FE8"/>
    <w:rsid w:val="003806FB"/>
    <w:rsid w:val="003845DF"/>
    <w:rsid w:val="0038497A"/>
    <w:rsid w:val="00390240"/>
    <w:rsid w:val="00391CB6"/>
    <w:rsid w:val="00392BDD"/>
    <w:rsid w:val="003960BD"/>
    <w:rsid w:val="003973A3"/>
    <w:rsid w:val="003978CE"/>
    <w:rsid w:val="003A2E39"/>
    <w:rsid w:val="003A36E4"/>
    <w:rsid w:val="003A4166"/>
    <w:rsid w:val="003A7409"/>
    <w:rsid w:val="003A7F17"/>
    <w:rsid w:val="003B0DFF"/>
    <w:rsid w:val="003B1CA0"/>
    <w:rsid w:val="003B361F"/>
    <w:rsid w:val="003B3DAC"/>
    <w:rsid w:val="003B5C4A"/>
    <w:rsid w:val="003B668B"/>
    <w:rsid w:val="003B6BCE"/>
    <w:rsid w:val="003C0031"/>
    <w:rsid w:val="003C7044"/>
    <w:rsid w:val="003D289A"/>
    <w:rsid w:val="003D64B5"/>
    <w:rsid w:val="003D690C"/>
    <w:rsid w:val="003D7CEA"/>
    <w:rsid w:val="003E1847"/>
    <w:rsid w:val="003E5D53"/>
    <w:rsid w:val="003E641F"/>
    <w:rsid w:val="003E7E37"/>
    <w:rsid w:val="003F0C06"/>
    <w:rsid w:val="003F3E70"/>
    <w:rsid w:val="003F6BCC"/>
    <w:rsid w:val="003F7409"/>
    <w:rsid w:val="00400183"/>
    <w:rsid w:val="0040135C"/>
    <w:rsid w:val="004101A9"/>
    <w:rsid w:val="00410916"/>
    <w:rsid w:val="004145A6"/>
    <w:rsid w:val="00414929"/>
    <w:rsid w:val="004165F9"/>
    <w:rsid w:val="004202DB"/>
    <w:rsid w:val="00420C16"/>
    <w:rsid w:val="0042353A"/>
    <w:rsid w:val="004236CD"/>
    <w:rsid w:val="004269E9"/>
    <w:rsid w:val="00427BE7"/>
    <w:rsid w:val="00427D8F"/>
    <w:rsid w:val="0043026B"/>
    <w:rsid w:val="0043053A"/>
    <w:rsid w:val="0043067D"/>
    <w:rsid w:val="00430AD3"/>
    <w:rsid w:val="00432740"/>
    <w:rsid w:val="004350B5"/>
    <w:rsid w:val="004364E2"/>
    <w:rsid w:val="00437A92"/>
    <w:rsid w:val="00440D5B"/>
    <w:rsid w:val="00443590"/>
    <w:rsid w:val="00444272"/>
    <w:rsid w:val="004456FE"/>
    <w:rsid w:val="00446180"/>
    <w:rsid w:val="0044680B"/>
    <w:rsid w:val="0044685F"/>
    <w:rsid w:val="00453000"/>
    <w:rsid w:val="004530D9"/>
    <w:rsid w:val="004544C9"/>
    <w:rsid w:val="00456548"/>
    <w:rsid w:val="00456BD8"/>
    <w:rsid w:val="00461707"/>
    <w:rsid w:val="00463860"/>
    <w:rsid w:val="00464435"/>
    <w:rsid w:val="00465B7A"/>
    <w:rsid w:val="00470115"/>
    <w:rsid w:val="00472710"/>
    <w:rsid w:val="0047431C"/>
    <w:rsid w:val="004777E5"/>
    <w:rsid w:val="004867F2"/>
    <w:rsid w:val="00487727"/>
    <w:rsid w:val="00490EB4"/>
    <w:rsid w:val="004916DD"/>
    <w:rsid w:val="004918DD"/>
    <w:rsid w:val="00495063"/>
    <w:rsid w:val="00496FCB"/>
    <w:rsid w:val="004A13AC"/>
    <w:rsid w:val="004A3F87"/>
    <w:rsid w:val="004A5407"/>
    <w:rsid w:val="004A5644"/>
    <w:rsid w:val="004B146D"/>
    <w:rsid w:val="004B1B95"/>
    <w:rsid w:val="004B2047"/>
    <w:rsid w:val="004B20C4"/>
    <w:rsid w:val="004B33B7"/>
    <w:rsid w:val="004B4D63"/>
    <w:rsid w:val="004B57E8"/>
    <w:rsid w:val="004B7EC6"/>
    <w:rsid w:val="004C056B"/>
    <w:rsid w:val="004C2D3D"/>
    <w:rsid w:val="004C53A3"/>
    <w:rsid w:val="004C5958"/>
    <w:rsid w:val="004D093A"/>
    <w:rsid w:val="004D4B30"/>
    <w:rsid w:val="004D6C4D"/>
    <w:rsid w:val="004E1F86"/>
    <w:rsid w:val="004E592F"/>
    <w:rsid w:val="004E7422"/>
    <w:rsid w:val="004F235F"/>
    <w:rsid w:val="004F43B6"/>
    <w:rsid w:val="00501913"/>
    <w:rsid w:val="005105F1"/>
    <w:rsid w:val="00511C8C"/>
    <w:rsid w:val="00515FB8"/>
    <w:rsid w:val="00515FE9"/>
    <w:rsid w:val="005201E8"/>
    <w:rsid w:val="005212B6"/>
    <w:rsid w:val="00527650"/>
    <w:rsid w:val="0053121E"/>
    <w:rsid w:val="00532B2D"/>
    <w:rsid w:val="005332D2"/>
    <w:rsid w:val="00536C1D"/>
    <w:rsid w:val="00540A1E"/>
    <w:rsid w:val="00552235"/>
    <w:rsid w:val="00552C27"/>
    <w:rsid w:val="00552EF4"/>
    <w:rsid w:val="00553A55"/>
    <w:rsid w:val="00555AAC"/>
    <w:rsid w:val="00561702"/>
    <w:rsid w:val="00563CC8"/>
    <w:rsid w:val="005679D0"/>
    <w:rsid w:val="005717B7"/>
    <w:rsid w:val="00571CE7"/>
    <w:rsid w:val="005745B0"/>
    <w:rsid w:val="00576C0F"/>
    <w:rsid w:val="00577CBC"/>
    <w:rsid w:val="0058278E"/>
    <w:rsid w:val="005827F5"/>
    <w:rsid w:val="00582E38"/>
    <w:rsid w:val="00591B80"/>
    <w:rsid w:val="00593321"/>
    <w:rsid w:val="005934E5"/>
    <w:rsid w:val="00593AF9"/>
    <w:rsid w:val="00594A32"/>
    <w:rsid w:val="005951C8"/>
    <w:rsid w:val="00595BF8"/>
    <w:rsid w:val="005A2F37"/>
    <w:rsid w:val="005A33C8"/>
    <w:rsid w:val="005A3DEF"/>
    <w:rsid w:val="005B0AE3"/>
    <w:rsid w:val="005B1286"/>
    <w:rsid w:val="005B2F11"/>
    <w:rsid w:val="005B4C75"/>
    <w:rsid w:val="005B505C"/>
    <w:rsid w:val="005B5523"/>
    <w:rsid w:val="005B763B"/>
    <w:rsid w:val="005C4377"/>
    <w:rsid w:val="005C608A"/>
    <w:rsid w:val="005C7F4B"/>
    <w:rsid w:val="005D0492"/>
    <w:rsid w:val="005D2D71"/>
    <w:rsid w:val="005D314A"/>
    <w:rsid w:val="005D5005"/>
    <w:rsid w:val="005D6CE6"/>
    <w:rsid w:val="005D74E8"/>
    <w:rsid w:val="005D7E23"/>
    <w:rsid w:val="005E1231"/>
    <w:rsid w:val="005E3D22"/>
    <w:rsid w:val="005F0E2A"/>
    <w:rsid w:val="005F6108"/>
    <w:rsid w:val="00602C6F"/>
    <w:rsid w:val="006033FB"/>
    <w:rsid w:val="00605404"/>
    <w:rsid w:val="00606670"/>
    <w:rsid w:val="00607BFC"/>
    <w:rsid w:val="00611502"/>
    <w:rsid w:val="00612F28"/>
    <w:rsid w:val="006144A1"/>
    <w:rsid w:val="006227DF"/>
    <w:rsid w:val="0062298C"/>
    <w:rsid w:val="00622C91"/>
    <w:rsid w:val="00631FFD"/>
    <w:rsid w:val="006336F1"/>
    <w:rsid w:val="00634564"/>
    <w:rsid w:val="0064084B"/>
    <w:rsid w:val="00642AC0"/>
    <w:rsid w:val="006460AE"/>
    <w:rsid w:val="00646BD7"/>
    <w:rsid w:val="00647FBE"/>
    <w:rsid w:val="00654714"/>
    <w:rsid w:val="00654BF3"/>
    <w:rsid w:val="006571A0"/>
    <w:rsid w:val="00660914"/>
    <w:rsid w:val="00662562"/>
    <w:rsid w:val="0066285B"/>
    <w:rsid w:val="00662C49"/>
    <w:rsid w:val="00662D50"/>
    <w:rsid w:val="006640C1"/>
    <w:rsid w:val="006655C0"/>
    <w:rsid w:val="00665908"/>
    <w:rsid w:val="006729D0"/>
    <w:rsid w:val="00673898"/>
    <w:rsid w:val="00674C23"/>
    <w:rsid w:val="00680A0D"/>
    <w:rsid w:val="00681B1E"/>
    <w:rsid w:val="00682238"/>
    <w:rsid w:val="00682B20"/>
    <w:rsid w:val="00690B1B"/>
    <w:rsid w:val="00694401"/>
    <w:rsid w:val="00695A3F"/>
    <w:rsid w:val="00696DE0"/>
    <w:rsid w:val="006A0AB9"/>
    <w:rsid w:val="006A17FE"/>
    <w:rsid w:val="006A22B0"/>
    <w:rsid w:val="006A2A3E"/>
    <w:rsid w:val="006A30D7"/>
    <w:rsid w:val="006A3891"/>
    <w:rsid w:val="006A4BA8"/>
    <w:rsid w:val="006B0DCB"/>
    <w:rsid w:val="006B2EC1"/>
    <w:rsid w:val="006B407B"/>
    <w:rsid w:val="006B4433"/>
    <w:rsid w:val="006B4AC3"/>
    <w:rsid w:val="006B7CCD"/>
    <w:rsid w:val="006C3092"/>
    <w:rsid w:val="006C34D2"/>
    <w:rsid w:val="006C5A39"/>
    <w:rsid w:val="006C5CF2"/>
    <w:rsid w:val="006C7FAA"/>
    <w:rsid w:val="006D1C12"/>
    <w:rsid w:val="006D2A93"/>
    <w:rsid w:val="006D3E30"/>
    <w:rsid w:val="006D41B4"/>
    <w:rsid w:val="006D48D0"/>
    <w:rsid w:val="006D4B3B"/>
    <w:rsid w:val="006D71E8"/>
    <w:rsid w:val="006E512E"/>
    <w:rsid w:val="006F2A80"/>
    <w:rsid w:val="006F4B8E"/>
    <w:rsid w:val="006F68A0"/>
    <w:rsid w:val="007036F6"/>
    <w:rsid w:val="00704CEA"/>
    <w:rsid w:val="00705948"/>
    <w:rsid w:val="007073C0"/>
    <w:rsid w:val="007079E6"/>
    <w:rsid w:val="00713994"/>
    <w:rsid w:val="00713ADF"/>
    <w:rsid w:val="007159A0"/>
    <w:rsid w:val="00715A41"/>
    <w:rsid w:val="00715D69"/>
    <w:rsid w:val="007166E2"/>
    <w:rsid w:val="007173D6"/>
    <w:rsid w:val="00717708"/>
    <w:rsid w:val="00722C94"/>
    <w:rsid w:val="007234E3"/>
    <w:rsid w:val="00733211"/>
    <w:rsid w:val="007337A4"/>
    <w:rsid w:val="00735237"/>
    <w:rsid w:val="00737F0B"/>
    <w:rsid w:val="007459FB"/>
    <w:rsid w:val="00745F1A"/>
    <w:rsid w:val="007504C1"/>
    <w:rsid w:val="0075128F"/>
    <w:rsid w:val="00754EE7"/>
    <w:rsid w:val="007556A8"/>
    <w:rsid w:val="0075633E"/>
    <w:rsid w:val="00762CF4"/>
    <w:rsid w:val="00766547"/>
    <w:rsid w:val="00767F27"/>
    <w:rsid w:val="00775082"/>
    <w:rsid w:val="00781674"/>
    <w:rsid w:val="00782BD6"/>
    <w:rsid w:val="00782F5F"/>
    <w:rsid w:val="007861AC"/>
    <w:rsid w:val="0079106C"/>
    <w:rsid w:val="00791318"/>
    <w:rsid w:val="00792345"/>
    <w:rsid w:val="00794D1C"/>
    <w:rsid w:val="00796204"/>
    <w:rsid w:val="007A0619"/>
    <w:rsid w:val="007A69EE"/>
    <w:rsid w:val="007A7B5F"/>
    <w:rsid w:val="007A7EB9"/>
    <w:rsid w:val="007A7F73"/>
    <w:rsid w:val="007C0755"/>
    <w:rsid w:val="007C0F6B"/>
    <w:rsid w:val="007C2A97"/>
    <w:rsid w:val="007C3B1F"/>
    <w:rsid w:val="007C3D5C"/>
    <w:rsid w:val="007C74D7"/>
    <w:rsid w:val="007D1097"/>
    <w:rsid w:val="007D490D"/>
    <w:rsid w:val="007D6EFF"/>
    <w:rsid w:val="007E4054"/>
    <w:rsid w:val="007E4488"/>
    <w:rsid w:val="007E5913"/>
    <w:rsid w:val="007E6068"/>
    <w:rsid w:val="007E70D5"/>
    <w:rsid w:val="007F3781"/>
    <w:rsid w:val="007F519E"/>
    <w:rsid w:val="007F7311"/>
    <w:rsid w:val="00800933"/>
    <w:rsid w:val="008010DA"/>
    <w:rsid w:val="00802103"/>
    <w:rsid w:val="00802250"/>
    <w:rsid w:val="00802AE4"/>
    <w:rsid w:val="008033EC"/>
    <w:rsid w:val="008053F9"/>
    <w:rsid w:val="008063DE"/>
    <w:rsid w:val="0080679C"/>
    <w:rsid w:val="00806940"/>
    <w:rsid w:val="008070E2"/>
    <w:rsid w:val="0080743C"/>
    <w:rsid w:val="00807C5D"/>
    <w:rsid w:val="008113BE"/>
    <w:rsid w:val="008145AF"/>
    <w:rsid w:val="008145B1"/>
    <w:rsid w:val="008151BF"/>
    <w:rsid w:val="0081735A"/>
    <w:rsid w:val="008208AE"/>
    <w:rsid w:val="00825A36"/>
    <w:rsid w:val="00826ADF"/>
    <w:rsid w:val="00830DBC"/>
    <w:rsid w:val="008342D3"/>
    <w:rsid w:val="0083638F"/>
    <w:rsid w:val="00841123"/>
    <w:rsid w:val="0084179B"/>
    <w:rsid w:val="00842191"/>
    <w:rsid w:val="00843718"/>
    <w:rsid w:val="00844439"/>
    <w:rsid w:val="0084517E"/>
    <w:rsid w:val="008458F8"/>
    <w:rsid w:val="00846F66"/>
    <w:rsid w:val="00847C46"/>
    <w:rsid w:val="00855B98"/>
    <w:rsid w:val="0085675C"/>
    <w:rsid w:val="00862D01"/>
    <w:rsid w:val="00863600"/>
    <w:rsid w:val="00864947"/>
    <w:rsid w:val="00867457"/>
    <w:rsid w:val="008675B6"/>
    <w:rsid w:val="008675BF"/>
    <w:rsid w:val="00870F6F"/>
    <w:rsid w:val="00871131"/>
    <w:rsid w:val="008712D9"/>
    <w:rsid w:val="00871CEC"/>
    <w:rsid w:val="00872EC5"/>
    <w:rsid w:val="00873DF7"/>
    <w:rsid w:val="00883FD3"/>
    <w:rsid w:val="00887DFE"/>
    <w:rsid w:val="00891D9D"/>
    <w:rsid w:val="00893CB3"/>
    <w:rsid w:val="00895F9C"/>
    <w:rsid w:val="00897367"/>
    <w:rsid w:val="008975AE"/>
    <w:rsid w:val="008A06BB"/>
    <w:rsid w:val="008A0EC3"/>
    <w:rsid w:val="008A20B7"/>
    <w:rsid w:val="008A63EF"/>
    <w:rsid w:val="008A6A8F"/>
    <w:rsid w:val="008B32EE"/>
    <w:rsid w:val="008B39C7"/>
    <w:rsid w:val="008C001E"/>
    <w:rsid w:val="008C040E"/>
    <w:rsid w:val="008C63B8"/>
    <w:rsid w:val="008D0071"/>
    <w:rsid w:val="008D05CB"/>
    <w:rsid w:val="008D07BB"/>
    <w:rsid w:val="008D0978"/>
    <w:rsid w:val="008D13EB"/>
    <w:rsid w:val="008D24B2"/>
    <w:rsid w:val="008D6B24"/>
    <w:rsid w:val="008D7156"/>
    <w:rsid w:val="008E33B5"/>
    <w:rsid w:val="008E3B5E"/>
    <w:rsid w:val="008E72CD"/>
    <w:rsid w:val="008F1B3A"/>
    <w:rsid w:val="008F2E44"/>
    <w:rsid w:val="008F3C9B"/>
    <w:rsid w:val="008F3D68"/>
    <w:rsid w:val="008F4308"/>
    <w:rsid w:val="008F48A6"/>
    <w:rsid w:val="008F54A4"/>
    <w:rsid w:val="008F6500"/>
    <w:rsid w:val="008F68C0"/>
    <w:rsid w:val="008F7934"/>
    <w:rsid w:val="00900194"/>
    <w:rsid w:val="009006CD"/>
    <w:rsid w:val="00902A46"/>
    <w:rsid w:val="00906F95"/>
    <w:rsid w:val="00906FBB"/>
    <w:rsid w:val="00914F22"/>
    <w:rsid w:val="00933AEE"/>
    <w:rsid w:val="00936BB1"/>
    <w:rsid w:val="00936F23"/>
    <w:rsid w:val="009410E9"/>
    <w:rsid w:val="00943769"/>
    <w:rsid w:val="00943868"/>
    <w:rsid w:val="0094458C"/>
    <w:rsid w:val="009458B5"/>
    <w:rsid w:val="00945A89"/>
    <w:rsid w:val="00945C6F"/>
    <w:rsid w:val="00946268"/>
    <w:rsid w:val="009462E8"/>
    <w:rsid w:val="00946D48"/>
    <w:rsid w:val="00946F44"/>
    <w:rsid w:val="00947F47"/>
    <w:rsid w:val="009514A6"/>
    <w:rsid w:val="009518FD"/>
    <w:rsid w:val="009534AE"/>
    <w:rsid w:val="009609C6"/>
    <w:rsid w:val="00960CA8"/>
    <w:rsid w:val="00961605"/>
    <w:rsid w:val="00965819"/>
    <w:rsid w:val="009714E6"/>
    <w:rsid w:val="0097362C"/>
    <w:rsid w:val="00985A76"/>
    <w:rsid w:val="009908F0"/>
    <w:rsid w:val="009923FC"/>
    <w:rsid w:val="00993FF4"/>
    <w:rsid w:val="0099657A"/>
    <w:rsid w:val="00997600"/>
    <w:rsid w:val="009A1625"/>
    <w:rsid w:val="009A1713"/>
    <w:rsid w:val="009A3737"/>
    <w:rsid w:val="009A7A7E"/>
    <w:rsid w:val="009B5F47"/>
    <w:rsid w:val="009C480D"/>
    <w:rsid w:val="009C49C7"/>
    <w:rsid w:val="009C4F30"/>
    <w:rsid w:val="009C5142"/>
    <w:rsid w:val="009C531A"/>
    <w:rsid w:val="009C61E3"/>
    <w:rsid w:val="009C7199"/>
    <w:rsid w:val="009C7DA0"/>
    <w:rsid w:val="009D0DCC"/>
    <w:rsid w:val="009D1F1E"/>
    <w:rsid w:val="009D25D8"/>
    <w:rsid w:val="009D330B"/>
    <w:rsid w:val="009E02F9"/>
    <w:rsid w:val="009E0E38"/>
    <w:rsid w:val="009E0EB3"/>
    <w:rsid w:val="009E4D7C"/>
    <w:rsid w:val="009E7AB8"/>
    <w:rsid w:val="009F1AEA"/>
    <w:rsid w:val="009F408C"/>
    <w:rsid w:val="009F4981"/>
    <w:rsid w:val="009F53AA"/>
    <w:rsid w:val="009F64F2"/>
    <w:rsid w:val="00A01E2A"/>
    <w:rsid w:val="00A02B23"/>
    <w:rsid w:val="00A036B5"/>
    <w:rsid w:val="00A039FA"/>
    <w:rsid w:val="00A03A5D"/>
    <w:rsid w:val="00A03A83"/>
    <w:rsid w:val="00A05500"/>
    <w:rsid w:val="00A1194A"/>
    <w:rsid w:val="00A15773"/>
    <w:rsid w:val="00A15FBD"/>
    <w:rsid w:val="00A16D79"/>
    <w:rsid w:val="00A2231C"/>
    <w:rsid w:val="00A23166"/>
    <w:rsid w:val="00A279E6"/>
    <w:rsid w:val="00A31F18"/>
    <w:rsid w:val="00A33640"/>
    <w:rsid w:val="00A41786"/>
    <w:rsid w:val="00A4375B"/>
    <w:rsid w:val="00A43D82"/>
    <w:rsid w:val="00A44184"/>
    <w:rsid w:val="00A45175"/>
    <w:rsid w:val="00A47344"/>
    <w:rsid w:val="00A51919"/>
    <w:rsid w:val="00A52659"/>
    <w:rsid w:val="00A53ED3"/>
    <w:rsid w:val="00A541BB"/>
    <w:rsid w:val="00A54B05"/>
    <w:rsid w:val="00A55C2D"/>
    <w:rsid w:val="00A630F7"/>
    <w:rsid w:val="00A653B7"/>
    <w:rsid w:val="00A71957"/>
    <w:rsid w:val="00A72905"/>
    <w:rsid w:val="00A72C57"/>
    <w:rsid w:val="00A73C72"/>
    <w:rsid w:val="00A74E9A"/>
    <w:rsid w:val="00A75C85"/>
    <w:rsid w:val="00A771A0"/>
    <w:rsid w:val="00A77A81"/>
    <w:rsid w:val="00A81F55"/>
    <w:rsid w:val="00A82775"/>
    <w:rsid w:val="00A84A2E"/>
    <w:rsid w:val="00A85055"/>
    <w:rsid w:val="00A8725C"/>
    <w:rsid w:val="00A872DE"/>
    <w:rsid w:val="00A87ADE"/>
    <w:rsid w:val="00A9383F"/>
    <w:rsid w:val="00A93C14"/>
    <w:rsid w:val="00A93C99"/>
    <w:rsid w:val="00A9675C"/>
    <w:rsid w:val="00A971A3"/>
    <w:rsid w:val="00AA018B"/>
    <w:rsid w:val="00AA05EC"/>
    <w:rsid w:val="00AA1563"/>
    <w:rsid w:val="00AA4489"/>
    <w:rsid w:val="00AB0752"/>
    <w:rsid w:val="00AB1CCF"/>
    <w:rsid w:val="00AB476E"/>
    <w:rsid w:val="00AB5F1F"/>
    <w:rsid w:val="00AB79D6"/>
    <w:rsid w:val="00AC1B2C"/>
    <w:rsid w:val="00AC243D"/>
    <w:rsid w:val="00AC3795"/>
    <w:rsid w:val="00AC429B"/>
    <w:rsid w:val="00AD0F8B"/>
    <w:rsid w:val="00AD5E47"/>
    <w:rsid w:val="00AD6A51"/>
    <w:rsid w:val="00AE1B2E"/>
    <w:rsid w:val="00AE2D1A"/>
    <w:rsid w:val="00AE3444"/>
    <w:rsid w:val="00AE66EB"/>
    <w:rsid w:val="00AE7A20"/>
    <w:rsid w:val="00AF0946"/>
    <w:rsid w:val="00AF1C1B"/>
    <w:rsid w:val="00AF5112"/>
    <w:rsid w:val="00B010E1"/>
    <w:rsid w:val="00B0187D"/>
    <w:rsid w:val="00B038EB"/>
    <w:rsid w:val="00B07909"/>
    <w:rsid w:val="00B11F8F"/>
    <w:rsid w:val="00B130B4"/>
    <w:rsid w:val="00B21FBE"/>
    <w:rsid w:val="00B24D40"/>
    <w:rsid w:val="00B25669"/>
    <w:rsid w:val="00B25A60"/>
    <w:rsid w:val="00B25BF9"/>
    <w:rsid w:val="00B26176"/>
    <w:rsid w:val="00B311FD"/>
    <w:rsid w:val="00B32800"/>
    <w:rsid w:val="00B33A4E"/>
    <w:rsid w:val="00B33B96"/>
    <w:rsid w:val="00B34A3B"/>
    <w:rsid w:val="00B35174"/>
    <w:rsid w:val="00B43436"/>
    <w:rsid w:val="00B45878"/>
    <w:rsid w:val="00B50046"/>
    <w:rsid w:val="00B50457"/>
    <w:rsid w:val="00B524B1"/>
    <w:rsid w:val="00B54EE5"/>
    <w:rsid w:val="00B56483"/>
    <w:rsid w:val="00B57F6A"/>
    <w:rsid w:val="00B603B0"/>
    <w:rsid w:val="00B61FDE"/>
    <w:rsid w:val="00B65CF5"/>
    <w:rsid w:val="00B74DB3"/>
    <w:rsid w:val="00B74E07"/>
    <w:rsid w:val="00B845D3"/>
    <w:rsid w:val="00B84F82"/>
    <w:rsid w:val="00B85AA0"/>
    <w:rsid w:val="00B863A2"/>
    <w:rsid w:val="00B936B0"/>
    <w:rsid w:val="00BA1494"/>
    <w:rsid w:val="00BA5A94"/>
    <w:rsid w:val="00BA6E04"/>
    <w:rsid w:val="00BB2F14"/>
    <w:rsid w:val="00BB692C"/>
    <w:rsid w:val="00BB74BA"/>
    <w:rsid w:val="00BB75E7"/>
    <w:rsid w:val="00BB7A4E"/>
    <w:rsid w:val="00BB7F06"/>
    <w:rsid w:val="00BC3407"/>
    <w:rsid w:val="00BD1A1E"/>
    <w:rsid w:val="00BD1A77"/>
    <w:rsid w:val="00BD216E"/>
    <w:rsid w:val="00BE0D69"/>
    <w:rsid w:val="00BE0D94"/>
    <w:rsid w:val="00BE20DA"/>
    <w:rsid w:val="00BE47DA"/>
    <w:rsid w:val="00BE5E3F"/>
    <w:rsid w:val="00BF3D91"/>
    <w:rsid w:val="00C0066B"/>
    <w:rsid w:val="00C0088F"/>
    <w:rsid w:val="00C01854"/>
    <w:rsid w:val="00C07314"/>
    <w:rsid w:val="00C07D77"/>
    <w:rsid w:val="00C116BE"/>
    <w:rsid w:val="00C11F77"/>
    <w:rsid w:val="00C13C98"/>
    <w:rsid w:val="00C1531A"/>
    <w:rsid w:val="00C176A2"/>
    <w:rsid w:val="00C17E8A"/>
    <w:rsid w:val="00C20996"/>
    <w:rsid w:val="00C20AAA"/>
    <w:rsid w:val="00C220EC"/>
    <w:rsid w:val="00C23EF8"/>
    <w:rsid w:val="00C2466C"/>
    <w:rsid w:val="00C273DD"/>
    <w:rsid w:val="00C32700"/>
    <w:rsid w:val="00C32CB7"/>
    <w:rsid w:val="00C34F4B"/>
    <w:rsid w:val="00C40BD7"/>
    <w:rsid w:val="00C41C91"/>
    <w:rsid w:val="00C42A29"/>
    <w:rsid w:val="00C432CE"/>
    <w:rsid w:val="00C44FBE"/>
    <w:rsid w:val="00C50079"/>
    <w:rsid w:val="00C50FF6"/>
    <w:rsid w:val="00C516C1"/>
    <w:rsid w:val="00C525BE"/>
    <w:rsid w:val="00C52A84"/>
    <w:rsid w:val="00C53B1B"/>
    <w:rsid w:val="00C55760"/>
    <w:rsid w:val="00C62064"/>
    <w:rsid w:val="00C63BFA"/>
    <w:rsid w:val="00C64971"/>
    <w:rsid w:val="00C65088"/>
    <w:rsid w:val="00C77C38"/>
    <w:rsid w:val="00C80F72"/>
    <w:rsid w:val="00C816A4"/>
    <w:rsid w:val="00C85173"/>
    <w:rsid w:val="00C858D2"/>
    <w:rsid w:val="00C86905"/>
    <w:rsid w:val="00C9343D"/>
    <w:rsid w:val="00C935AB"/>
    <w:rsid w:val="00C9407E"/>
    <w:rsid w:val="00C9434B"/>
    <w:rsid w:val="00C9640B"/>
    <w:rsid w:val="00CA13E7"/>
    <w:rsid w:val="00CA731A"/>
    <w:rsid w:val="00CA77A9"/>
    <w:rsid w:val="00CB00BB"/>
    <w:rsid w:val="00CB474D"/>
    <w:rsid w:val="00CB5B4B"/>
    <w:rsid w:val="00CB5B6F"/>
    <w:rsid w:val="00CB6083"/>
    <w:rsid w:val="00CC253B"/>
    <w:rsid w:val="00CC768D"/>
    <w:rsid w:val="00CD110F"/>
    <w:rsid w:val="00CD2C33"/>
    <w:rsid w:val="00CD38FD"/>
    <w:rsid w:val="00CD4AD0"/>
    <w:rsid w:val="00CD4E6F"/>
    <w:rsid w:val="00CD4F47"/>
    <w:rsid w:val="00CD5134"/>
    <w:rsid w:val="00CD5976"/>
    <w:rsid w:val="00CD7B11"/>
    <w:rsid w:val="00CE1576"/>
    <w:rsid w:val="00CE15CD"/>
    <w:rsid w:val="00CE3906"/>
    <w:rsid w:val="00CE6198"/>
    <w:rsid w:val="00CF09B7"/>
    <w:rsid w:val="00CF0ABB"/>
    <w:rsid w:val="00CF2525"/>
    <w:rsid w:val="00CF2FF6"/>
    <w:rsid w:val="00CF4870"/>
    <w:rsid w:val="00CF6CBF"/>
    <w:rsid w:val="00CF7567"/>
    <w:rsid w:val="00D01745"/>
    <w:rsid w:val="00D0516D"/>
    <w:rsid w:val="00D0590F"/>
    <w:rsid w:val="00D05C8D"/>
    <w:rsid w:val="00D06791"/>
    <w:rsid w:val="00D15B7A"/>
    <w:rsid w:val="00D17662"/>
    <w:rsid w:val="00D17F0B"/>
    <w:rsid w:val="00D21CD6"/>
    <w:rsid w:val="00D22A1B"/>
    <w:rsid w:val="00D25F5B"/>
    <w:rsid w:val="00D26684"/>
    <w:rsid w:val="00D31AEF"/>
    <w:rsid w:val="00D33F69"/>
    <w:rsid w:val="00D349C3"/>
    <w:rsid w:val="00D40BA0"/>
    <w:rsid w:val="00D4267D"/>
    <w:rsid w:val="00D44E04"/>
    <w:rsid w:val="00D468DB"/>
    <w:rsid w:val="00D46A93"/>
    <w:rsid w:val="00D46A99"/>
    <w:rsid w:val="00D512ED"/>
    <w:rsid w:val="00D51EFC"/>
    <w:rsid w:val="00D52C4A"/>
    <w:rsid w:val="00D539C7"/>
    <w:rsid w:val="00D55521"/>
    <w:rsid w:val="00D60916"/>
    <w:rsid w:val="00D63489"/>
    <w:rsid w:val="00D63567"/>
    <w:rsid w:val="00D658E5"/>
    <w:rsid w:val="00D65C3F"/>
    <w:rsid w:val="00D66D51"/>
    <w:rsid w:val="00D80362"/>
    <w:rsid w:val="00D8283D"/>
    <w:rsid w:val="00D84498"/>
    <w:rsid w:val="00D86187"/>
    <w:rsid w:val="00D87B18"/>
    <w:rsid w:val="00D90D86"/>
    <w:rsid w:val="00D92089"/>
    <w:rsid w:val="00D93ADF"/>
    <w:rsid w:val="00D941FC"/>
    <w:rsid w:val="00D962E9"/>
    <w:rsid w:val="00D9697E"/>
    <w:rsid w:val="00DA039B"/>
    <w:rsid w:val="00DA0DCC"/>
    <w:rsid w:val="00DA51C1"/>
    <w:rsid w:val="00DA75DD"/>
    <w:rsid w:val="00DB0CBD"/>
    <w:rsid w:val="00DB24B9"/>
    <w:rsid w:val="00DB452E"/>
    <w:rsid w:val="00DB4716"/>
    <w:rsid w:val="00DB49F2"/>
    <w:rsid w:val="00DC0657"/>
    <w:rsid w:val="00DC07A8"/>
    <w:rsid w:val="00DC0985"/>
    <w:rsid w:val="00DC48C8"/>
    <w:rsid w:val="00DD1EF6"/>
    <w:rsid w:val="00DD2212"/>
    <w:rsid w:val="00DD692C"/>
    <w:rsid w:val="00DD783F"/>
    <w:rsid w:val="00DE7E31"/>
    <w:rsid w:val="00DE7FC1"/>
    <w:rsid w:val="00DF2FEB"/>
    <w:rsid w:val="00DF39C7"/>
    <w:rsid w:val="00DF7F94"/>
    <w:rsid w:val="00E00DD5"/>
    <w:rsid w:val="00E021C4"/>
    <w:rsid w:val="00E04848"/>
    <w:rsid w:val="00E04AD2"/>
    <w:rsid w:val="00E064C2"/>
    <w:rsid w:val="00E06FD2"/>
    <w:rsid w:val="00E07539"/>
    <w:rsid w:val="00E10A7A"/>
    <w:rsid w:val="00E17D60"/>
    <w:rsid w:val="00E22EA8"/>
    <w:rsid w:val="00E26477"/>
    <w:rsid w:val="00E31096"/>
    <w:rsid w:val="00E320F1"/>
    <w:rsid w:val="00E346C7"/>
    <w:rsid w:val="00E43417"/>
    <w:rsid w:val="00E4365F"/>
    <w:rsid w:val="00E454BD"/>
    <w:rsid w:val="00E50133"/>
    <w:rsid w:val="00E52BEE"/>
    <w:rsid w:val="00E5596B"/>
    <w:rsid w:val="00E56919"/>
    <w:rsid w:val="00E65EEA"/>
    <w:rsid w:val="00E66553"/>
    <w:rsid w:val="00E666CC"/>
    <w:rsid w:val="00E66AB2"/>
    <w:rsid w:val="00E670A0"/>
    <w:rsid w:val="00E707B7"/>
    <w:rsid w:val="00E72121"/>
    <w:rsid w:val="00E76348"/>
    <w:rsid w:val="00E84845"/>
    <w:rsid w:val="00E8491A"/>
    <w:rsid w:val="00E8561B"/>
    <w:rsid w:val="00E930B3"/>
    <w:rsid w:val="00E962D0"/>
    <w:rsid w:val="00E9717A"/>
    <w:rsid w:val="00EA03EB"/>
    <w:rsid w:val="00EA1DBF"/>
    <w:rsid w:val="00EA7489"/>
    <w:rsid w:val="00EB30E9"/>
    <w:rsid w:val="00EB4499"/>
    <w:rsid w:val="00EC2D35"/>
    <w:rsid w:val="00EC33AD"/>
    <w:rsid w:val="00EC7551"/>
    <w:rsid w:val="00ED1BE9"/>
    <w:rsid w:val="00ED3574"/>
    <w:rsid w:val="00EE1DE1"/>
    <w:rsid w:val="00EE3356"/>
    <w:rsid w:val="00EE4670"/>
    <w:rsid w:val="00EE68A4"/>
    <w:rsid w:val="00EE6B70"/>
    <w:rsid w:val="00EF1940"/>
    <w:rsid w:val="00EF2CA1"/>
    <w:rsid w:val="00EF2CC0"/>
    <w:rsid w:val="00EF6322"/>
    <w:rsid w:val="00F004D4"/>
    <w:rsid w:val="00F01E28"/>
    <w:rsid w:val="00F04714"/>
    <w:rsid w:val="00F05560"/>
    <w:rsid w:val="00F05F77"/>
    <w:rsid w:val="00F12D8D"/>
    <w:rsid w:val="00F14BE7"/>
    <w:rsid w:val="00F21141"/>
    <w:rsid w:val="00F21B16"/>
    <w:rsid w:val="00F24140"/>
    <w:rsid w:val="00F260EA"/>
    <w:rsid w:val="00F30EFF"/>
    <w:rsid w:val="00F31B12"/>
    <w:rsid w:val="00F33645"/>
    <w:rsid w:val="00F3677E"/>
    <w:rsid w:val="00F40269"/>
    <w:rsid w:val="00F4030E"/>
    <w:rsid w:val="00F51623"/>
    <w:rsid w:val="00F5177E"/>
    <w:rsid w:val="00F53CFE"/>
    <w:rsid w:val="00F54557"/>
    <w:rsid w:val="00F55E1A"/>
    <w:rsid w:val="00F56FDA"/>
    <w:rsid w:val="00F60873"/>
    <w:rsid w:val="00F608E7"/>
    <w:rsid w:val="00F6160B"/>
    <w:rsid w:val="00F63FE8"/>
    <w:rsid w:val="00F6516B"/>
    <w:rsid w:val="00F658D3"/>
    <w:rsid w:val="00F658EB"/>
    <w:rsid w:val="00F65D70"/>
    <w:rsid w:val="00F713B7"/>
    <w:rsid w:val="00F71764"/>
    <w:rsid w:val="00F727FA"/>
    <w:rsid w:val="00F72AE5"/>
    <w:rsid w:val="00F74FF3"/>
    <w:rsid w:val="00F8028B"/>
    <w:rsid w:val="00F814C7"/>
    <w:rsid w:val="00F8311E"/>
    <w:rsid w:val="00F8735E"/>
    <w:rsid w:val="00F908E2"/>
    <w:rsid w:val="00F91AF1"/>
    <w:rsid w:val="00F91C41"/>
    <w:rsid w:val="00F92534"/>
    <w:rsid w:val="00F94110"/>
    <w:rsid w:val="00F96E94"/>
    <w:rsid w:val="00F96EED"/>
    <w:rsid w:val="00F97165"/>
    <w:rsid w:val="00F97A37"/>
    <w:rsid w:val="00FA11DA"/>
    <w:rsid w:val="00FA4173"/>
    <w:rsid w:val="00FA5E39"/>
    <w:rsid w:val="00FA64EC"/>
    <w:rsid w:val="00FA6B54"/>
    <w:rsid w:val="00FB33FA"/>
    <w:rsid w:val="00FC5597"/>
    <w:rsid w:val="00FC6AFB"/>
    <w:rsid w:val="00FC6BDC"/>
    <w:rsid w:val="00FD0D20"/>
    <w:rsid w:val="00FD1E52"/>
    <w:rsid w:val="00FD3B46"/>
    <w:rsid w:val="00FD3C44"/>
    <w:rsid w:val="00FD41B4"/>
    <w:rsid w:val="00FE022B"/>
    <w:rsid w:val="00FE0CFE"/>
    <w:rsid w:val="00FE3B86"/>
    <w:rsid w:val="00FE3BA4"/>
    <w:rsid w:val="00FE4896"/>
    <w:rsid w:val="00FE6C16"/>
    <w:rsid w:val="00FE7031"/>
    <w:rsid w:val="00FF088C"/>
    <w:rsid w:val="00FF3402"/>
    <w:rsid w:val="00FF38D9"/>
    <w:rsid w:val="00FF51E6"/>
    <w:rsid w:val="00FF6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C16"/>
    <w:pPr>
      <w:spacing w:line="360" w:lineRule="auto"/>
    </w:pPr>
    <w:rPr>
      <w:sz w:val="24"/>
    </w:rPr>
  </w:style>
  <w:style w:type="paragraph" w:styleId="Nagwek1">
    <w:name w:val="heading 1"/>
    <w:basedOn w:val="Normalny"/>
    <w:next w:val="Normalny"/>
    <w:qFormat/>
    <w:rsid w:val="00FE6C16"/>
    <w:pPr>
      <w:keepNext/>
      <w:jc w:val="center"/>
      <w:outlineLvl w:val="0"/>
    </w:pPr>
    <w:rPr>
      <w:rFonts w:ascii="Bookman Old Style" w:hAnsi="Bookman Old Style"/>
      <w:i/>
      <w:sz w:val="44"/>
    </w:rPr>
  </w:style>
  <w:style w:type="paragraph" w:styleId="Nagwek2">
    <w:name w:val="heading 2"/>
    <w:basedOn w:val="Normalny"/>
    <w:next w:val="Normalny"/>
    <w:qFormat/>
    <w:rsid w:val="00FE6C16"/>
    <w:pPr>
      <w:keepNext/>
      <w:outlineLvl w:val="1"/>
    </w:pPr>
    <w:rPr>
      <w:i/>
      <w:sz w:val="20"/>
    </w:rPr>
  </w:style>
  <w:style w:type="paragraph" w:styleId="Nagwek3">
    <w:name w:val="heading 3"/>
    <w:basedOn w:val="Normalny"/>
    <w:next w:val="Normalny"/>
    <w:qFormat/>
    <w:rsid w:val="00FE6C16"/>
    <w:pPr>
      <w:keepNext/>
      <w:outlineLvl w:val="2"/>
    </w:pPr>
    <w:rPr>
      <w:b/>
    </w:rPr>
  </w:style>
  <w:style w:type="paragraph" w:styleId="Nagwek4">
    <w:name w:val="heading 4"/>
    <w:basedOn w:val="Normalny"/>
    <w:next w:val="Normalny"/>
    <w:qFormat/>
    <w:rsid w:val="00FE6C16"/>
    <w:pPr>
      <w:keepNext/>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panyName">
    <w:name w:val="Company Name"/>
    <w:basedOn w:val="Tekstpodstawowy"/>
    <w:next w:val="Data"/>
    <w:rsid w:val="00FE6C16"/>
    <w:pPr>
      <w:keepLines/>
      <w:framePr w:w="8640" w:h="1440" w:wrap="notBeside" w:vAnchor="page" w:hAnchor="margin" w:xAlign="center" w:y="889"/>
      <w:spacing w:after="40" w:line="240" w:lineRule="atLeast"/>
      <w:jc w:val="center"/>
    </w:pPr>
    <w:rPr>
      <w:rFonts w:ascii="Garamond" w:hAnsi="Garamond"/>
      <w:caps/>
      <w:spacing w:val="75"/>
      <w:kern w:val="18"/>
      <w:sz w:val="21"/>
      <w:lang w:val="en-AU"/>
    </w:rPr>
  </w:style>
  <w:style w:type="paragraph" w:customStyle="1" w:styleId="ReturnAddress">
    <w:name w:val="Return Address"/>
    <w:rsid w:val="00FE6C1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SignatureJobTitle">
    <w:name w:val="Signature Job Title"/>
    <w:basedOn w:val="Podpis"/>
    <w:next w:val="Normalny"/>
    <w:rsid w:val="00FE6C16"/>
    <w:pPr>
      <w:keepNext/>
      <w:spacing w:line="240" w:lineRule="atLeast"/>
      <w:ind w:left="4565"/>
    </w:pPr>
    <w:rPr>
      <w:rFonts w:ascii="Garamond" w:hAnsi="Garamond"/>
      <w:kern w:val="18"/>
      <w:lang w:val="en-AU"/>
    </w:rPr>
  </w:style>
  <w:style w:type="paragraph" w:styleId="Nagwek">
    <w:name w:val="header"/>
    <w:basedOn w:val="Normalny"/>
    <w:link w:val="NagwekZnak"/>
    <w:uiPriority w:val="99"/>
    <w:rsid w:val="00FE6C16"/>
    <w:pPr>
      <w:tabs>
        <w:tab w:val="center" w:pos="4320"/>
        <w:tab w:val="right" w:pos="8640"/>
      </w:tabs>
      <w:jc w:val="both"/>
    </w:pPr>
    <w:rPr>
      <w:rFonts w:ascii="Garamond" w:hAnsi="Garamond"/>
      <w:kern w:val="18"/>
      <w:lang w:val="en-AU"/>
    </w:rPr>
  </w:style>
  <w:style w:type="paragraph" w:styleId="Tekstpodstawowy">
    <w:name w:val="Body Text"/>
    <w:basedOn w:val="Normalny"/>
    <w:rsid w:val="00FE6C16"/>
    <w:pPr>
      <w:spacing w:after="120"/>
    </w:pPr>
  </w:style>
  <w:style w:type="paragraph" w:styleId="Data">
    <w:name w:val="Date"/>
    <w:basedOn w:val="Normalny"/>
    <w:next w:val="Normalny"/>
    <w:rsid w:val="00FE6C16"/>
  </w:style>
  <w:style w:type="paragraph" w:styleId="Podpis">
    <w:name w:val="Signature"/>
    <w:basedOn w:val="Normalny"/>
    <w:rsid w:val="00FE6C16"/>
    <w:pPr>
      <w:ind w:left="4252"/>
    </w:pPr>
  </w:style>
  <w:style w:type="paragraph" w:styleId="Stopka">
    <w:name w:val="footer"/>
    <w:basedOn w:val="Normalny"/>
    <w:link w:val="StopkaZnak"/>
    <w:uiPriority w:val="99"/>
    <w:rsid w:val="00FE6C16"/>
    <w:pPr>
      <w:tabs>
        <w:tab w:val="center" w:pos="4153"/>
        <w:tab w:val="right" w:pos="8306"/>
      </w:tabs>
    </w:pPr>
  </w:style>
  <w:style w:type="character" w:styleId="Pogrubienie">
    <w:name w:val="Strong"/>
    <w:basedOn w:val="Domylnaczcionkaakapitu"/>
    <w:uiPriority w:val="22"/>
    <w:qFormat/>
    <w:rsid w:val="00FE6C16"/>
    <w:rPr>
      <w:b/>
    </w:rPr>
  </w:style>
  <w:style w:type="character" w:styleId="Numerstrony">
    <w:name w:val="page number"/>
    <w:basedOn w:val="Domylnaczcionkaakapitu"/>
    <w:rsid w:val="007F519E"/>
  </w:style>
  <w:style w:type="paragraph" w:styleId="Zwykytekst">
    <w:name w:val="Plain Text"/>
    <w:basedOn w:val="Normalny"/>
    <w:rsid w:val="0094458C"/>
    <w:pPr>
      <w:spacing w:line="240" w:lineRule="auto"/>
    </w:pPr>
    <w:rPr>
      <w:rFonts w:ascii="Courier New" w:hAnsi="Courier New" w:cs="Courier New"/>
      <w:sz w:val="20"/>
    </w:rPr>
  </w:style>
  <w:style w:type="paragraph" w:styleId="Tekstprzypisudolnego">
    <w:name w:val="footnote text"/>
    <w:basedOn w:val="Normalny"/>
    <w:semiHidden/>
    <w:rsid w:val="00AC243D"/>
    <w:pPr>
      <w:spacing w:line="240" w:lineRule="auto"/>
    </w:pPr>
    <w:rPr>
      <w:sz w:val="20"/>
    </w:rPr>
  </w:style>
  <w:style w:type="character" w:styleId="Odwoanieprzypisudolnego">
    <w:name w:val="footnote reference"/>
    <w:basedOn w:val="Domylnaczcionkaakapitu"/>
    <w:semiHidden/>
    <w:rsid w:val="00AC243D"/>
    <w:rPr>
      <w:vertAlign w:val="superscript"/>
    </w:rPr>
  </w:style>
  <w:style w:type="paragraph" w:styleId="Tekstpodstawowy2">
    <w:name w:val="Body Text 2"/>
    <w:basedOn w:val="Normalny"/>
    <w:link w:val="Tekstpodstawowy2Znak"/>
    <w:rsid w:val="002A7617"/>
    <w:pPr>
      <w:spacing w:after="120" w:line="480" w:lineRule="auto"/>
    </w:pPr>
  </w:style>
  <w:style w:type="character" w:customStyle="1" w:styleId="Tekstpodstawowy2Znak">
    <w:name w:val="Tekst podstawowy 2 Znak"/>
    <w:basedOn w:val="Domylnaczcionkaakapitu"/>
    <w:link w:val="Tekstpodstawowy2"/>
    <w:rsid w:val="002A7617"/>
    <w:rPr>
      <w:sz w:val="24"/>
    </w:rPr>
  </w:style>
  <w:style w:type="paragraph" w:styleId="Tekstdymka">
    <w:name w:val="Balloon Text"/>
    <w:basedOn w:val="Normalny"/>
    <w:semiHidden/>
    <w:rsid w:val="00D658E5"/>
    <w:rPr>
      <w:rFonts w:ascii="Tahoma" w:hAnsi="Tahoma" w:cs="Tahoma"/>
      <w:sz w:val="16"/>
      <w:szCs w:val="16"/>
    </w:rPr>
  </w:style>
  <w:style w:type="paragraph" w:styleId="NormalnyWeb">
    <w:name w:val="Normal (Web)"/>
    <w:basedOn w:val="Normalny"/>
    <w:uiPriority w:val="99"/>
    <w:rsid w:val="0005587B"/>
    <w:pPr>
      <w:spacing w:before="100" w:beforeAutospacing="1" w:after="100" w:afterAutospacing="1" w:line="240" w:lineRule="auto"/>
    </w:pPr>
    <w:rPr>
      <w:szCs w:val="24"/>
    </w:rPr>
  </w:style>
  <w:style w:type="character" w:styleId="Hipercze">
    <w:name w:val="Hyperlink"/>
    <w:basedOn w:val="Domylnaczcionkaakapitu"/>
    <w:rsid w:val="0005587B"/>
    <w:rPr>
      <w:color w:val="0000FF"/>
      <w:u w:val="single"/>
    </w:rPr>
  </w:style>
  <w:style w:type="paragraph" w:customStyle="1" w:styleId="Akapitzlist1">
    <w:name w:val="Akapit z listą1"/>
    <w:basedOn w:val="Normalny"/>
    <w:rsid w:val="00011621"/>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rsid w:val="00A01E2A"/>
    <w:rPr>
      <w:sz w:val="16"/>
      <w:szCs w:val="16"/>
    </w:rPr>
  </w:style>
  <w:style w:type="paragraph" w:styleId="Tekstkomentarza">
    <w:name w:val="annotation text"/>
    <w:basedOn w:val="Normalny"/>
    <w:semiHidden/>
    <w:rsid w:val="00A01E2A"/>
    <w:rPr>
      <w:sz w:val="20"/>
    </w:rPr>
  </w:style>
  <w:style w:type="paragraph" w:styleId="Tematkomentarza">
    <w:name w:val="annotation subject"/>
    <w:basedOn w:val="Tekstkomentarza"/>
    <w:next w:val="Tekstkomentarza"/>
    <w:semiHidden/>
    <w:rsid w:val="00A01E2A"/>
    <w:rPr>
      <w:b/>
      <w:bCs/>
    </w:rPr>
  </w:style>
  <w:style w:type="paragraph" w:styleId="Tekstprzypisukocowego">
    <w:name w:val="endnote text"/>
    <w:basedOn w:val="Normalny"/>
    <w:link w:val="TekstprzypisukocowegoZnak"/>
    <w:rsid w:val="00C62064"/>
    <w:rPr>
      <w:sz w:val="20"/>
    </w:rPr>
  </w:style>
  <w:style w:type="character" w:customStyle="1" w:styleId="TekstprzypisukocowegoZnak">
    <w:name w:val="Tekst przypisu końcowego Znak"/>
    <w:basedOn w:val="Domylnaczcionkaakapitu"/>
    <w:link w:val="Tekstprzypisukocowego"/>
    <w:rsid w:val="00C62064"/>
  </w:style>
  <w:style w:type="character" w:styleId="Odwoanieprzypisukocowego">
    <w:name w:val="endnote reference"/>
    <w:basedOn w:val="Domylnaczcionkaakapitu"/>
    <w:rsid w:val="00C62064"/>
    <w:rPr>
      <w:vertAlign w:val="superscript"/>
    </w:rPr>
  </w:style>
  <w:style w:type="character" w:customStyle="1" w:styleId="fl1">
    <w:name w:val="fl1"/>
    <w:basedOn w:val="Domylnaczcionkaakapitu"/>
    <w:rsid w:val="00F96E94"/>
    <w:rPr>
      <w:vanish w:val="0"/>
      <w:webHidden w:val="0"/>
      <w:specVanish w:val="0"/>
    </w:rPr>
  </w:style>
  <w:style w:type="paragraph" w:customStyle="1" w:styleId="normalweb">
    <w:name w:val="normalweb"/>
    <w:basedOn w:val="Normalny"/>
    <w:rsid w:val="003978CE"/>
    <w:pPr>
      <w:spacing w:after="45" w:line="240" w:lineRule="auto"/>
    </w:pPr>
    <w:rPr>
      <w:szCs w:val="24"/>
    </w:rPr>
  </w:style>
  <w:style w:type="paragraph" w:styleId="Akapitzlist">
    <w:name w:val="List Paragraph"/>
    <w:basedOn w:val="Normalny"/>
    <w:uiPriority w:val="99"/>
    <w:qFormat/>
    <w:rsid w:val="00DB4716"/>
    <w:pPr>
      <w:widowControl w:val="0"/>
      <w:spacing w:line="240" w:lineRule="auto"/>
      <w:ind w:left="720"/>
      <w:contextualSpacing/>
    </w:pPr>
    <w:rPr>
      <w:rFonts w:ascii="Arial" w:hAnsi="Arial"/>
      <w:sz w:val="22"/>
    </w:rPr>
  </w:style>
  <w:style w:type="character" w:customStyle="1" w:styleId="temat2">
    <w:name w:val="temat2"/>
    <w:basedOn w:val="Domylnaczcionkaakapitu"/>
    <w:rsid w:val="001C0CD3"/>
  </w:style>
  <w:style w:type="character" w:customStyle="1" w:styleId="StopkaZnak">
    <w:name w:val="Stopka Znak"/>
    <w:basedOn w:val="Domylnaczcionkaakapitu"/>
    <w:link w:val="Stopka"/>
    <w:uiPriority w:val="99"/>
    <w:rsid w:val="004E592F"/>
    <w:rPr>
      <w:sz w:val="24"/>
    </w:rPr>
  </w:style>
  <w:style w:type="paragraph" w:styleId="Bezodstpw">
    <w:name w:val="No Spacing"/>
    <w:link w:val="BezodstpwZnak"/>
    <w:uiPriority w:val="1"/>
    <w:qFormat/>
    <w:rsid w:val="00B21FBE"/>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B21FBE"/>
    <w:rPr>
      <w:rFonts w:asciiTheme="minorHAnsi" w:eastAsiaTheme="minorEastAsia" w:hAnsiTheme="minorHAnsi" w:cstheme="minorBidi"/>
      <w:sz w:val="22"/>
      <w:szCs w:val="22"/>
      <w:lang w:eastAsia="en-US"/>
    </w:rPr>
  </w:style>
  <w:style w:type="character" w:customStyle="1" w:styleId="NagwekZnak">
    <w:name w:val="Nagłówek Znak"/>
    <w:basedOn w:val="Domylnaczcionkaakapitu"/>
    <w:link w:val="Nagwek"/>
    <w:uiPriority w:val="99"/>
    <w:rsid w:val="006A2A3E"/>
    <w:rPr>
      <w:rFonts w:ascii="Garamond" w:hAnsi="Garamond"/>
      <w:kern w:val="18"/>
      <w:sz w:val="24"/>
      <w:lang w:val="en-AU"/>
    </w:rPr>
  </w:style>
  <w:style w:type="character" w:customStyle="1" w:styleId="st1">
    <w:name w:val="st1"/>
    <w:basedOn w:val="Domylnaczcionkaakapitu"/>
    <w:rsid w:val="003F3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C16"/>
    <w:pPr>
      <w:spacing w:line="360" w:lineRule="auto"/>
    </w:pPr>
    <w:rPr>
      <w:sz w:val="24"/>
    </w:rPr>
  </w:style>
  <w:style w:type="paragraph" w:styleId="Nagwek1">
    <w:name w:val="heading 1"/>
    <w:basedOn w:val="Normalny"/>
    <w:next w:val="Normalny"/>
    <w:qFormat/>
    <w:rsid w:val="00FE6C16"/>
    <w:pPr>
      <w:keepNext/>
      <w:jc w:val="center"/>
      <w:outlineLvl w:val="0"/>
    </w:pPr>
    <w:rPr>
      <w:rFonts w:ascii="Bookman Old Style" w:hAnsi="Bookman Old Style"/>
      <w:i/>
      <w:sz w:val="44"/>
    </w:rPr>
  </w:style>
  <w:style w:type="paragraph" w:styleId="Nagwek2">
    <w:name w:val="heading 2"/>
    <w:basedOn w:val="Normalny"/>
    <w:next w:val="Normalny"/>
    <w:qFormat/>
    <w:rsid w:val="00FE6C16"/>
    <w:pPr>
      <w:keepNext/>
      <w:outlineLvl w:val="1"/>
    </w:pPr>
    <w:rPr>
      <w:i/>
      <w:sz w:val="20"/>
    </w:rPr>
  </w:style>
  <w:style w:type="paragraph" w:styleId="Nagwek3">
    <w:name w:val="heading 3"/>
    <w:basedOn w:val="Normalny"/>
    <w:next w:val="Normalny"/>
    <w:qFormat/>
    <w:rsid w:val="00FE6C16"/>
    <w:pPr>
      <w:keepNext/>
      <w:outlineLvl w:val="2"/>
    </w:pPr>
    <w:rPr>
      <w:b/>
    </w:rPr>
  </w:style>
  <w:style w:type="paragraph" w:styleId="Nagwek4">
    <w:name w:val="heading 4"/>
    <w:basedOn w:val="Normalny"/>
    <w:next w:val="Normalny"/>
    <w:qFormat/>
    <w:rsid w:val="00FE6C16"/>
    <w:pPr>
      <w:keepNext/>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panyName">
    <w:name w:val="Company Name"/>
    <w:basedOn w:val="Tekstpodstawowy"/>
    <w:next w:val="Data"/>
    <w:rsid w:val="00FE6C16"/>
    <w:pPr>
      <w:keepLines/>
      <w:framePr w:w="8640" w:h="1440" w:wrap="notBeside" w:vAnchor="page" w:hAnchor="margin" w:xAlign="center" w:y="889"/>
      <w:spacing w:after="40" w:line="240" w:lineRule="atLeast"/>
      <w:jc w:val="center"/>
    </w:pPr>
    <w:rPr>
      <w:rFonts w:ascii="Garamond" w:hAnsi="Garamond"/>
      <w:caps/>
      <w:spacing w:val="75"/>
      <w:kern w:val="18"/>
      <w:sz w:val="21"/>
      <w:lang w:val="en-AU"/>
    </w:rPr>
  </w:style>
  <w:style w:type="paragraph" w:customStyle="1" w:styleId="ReturnAddress">
    <w:name w:val="Return Address"/>
    <w:rsid w:val="00FE6C1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SignatureJobTitle">
    <w:name w:val="Signature Job Title"/>
    <w:basedOn w:val="Podpis"/>
    <w:next w:val="Normalny"/>
    <w:rsid w:val="00FE6C16"/>
    <w:pPr>
      <w:keepNext/>
      <w:spacing w:line="240" w:lineRule="atLeast"/>
      <w:ind w:left="4565"/>
    </w:pPr>
    <w:rPr>
      <w:rFonts w:ascii="Garamond" w:hAnsi="Garamond"/>
      <w:kern w:val="18"/>
      <w:lang w:val="en-AU"/>
    </w:rPr>
  </w:style>
  <w:style w:type="paragraph" w:styleId="Nagwek">
    <w:name w:val="header"/>
    <w:basedOn w:val="Normalny"/>
    <w:link w:val="NagwekZnak"/>
    <w:uiPriority w:val="99"/>
    <w:rsid w:val="00FE6C16"/>
    <w:pPr>
      <w:tabs>
        <w:tab w:val="center" w:pos="4320"/>
        <w:tab w:val="right" w:pos="8640"/>
      </w:tabs>
      <w:jc w:val="both"/>
    </w:pPr>
    <w:rPr>
      <w:rFonts w:ascii="Garamond" w:hAnsi="Garamond"/>
      <w:kern w:val="18"/>
      <w:lang w:val="en-AU"/>
    </w:rPr>
  </w:style>
  <w:style w:type="paragraph" w:styleId="Tekstpodstawowy">
    <w:name w:val="Body Text"/>
    <w:basedOn w:val="Normalny"/>
    <w:rsid w:val="00FE6C16"/>
    <w:pPr>
      <w:spacing w:after="120"/>
    </w:pPr>
  </w:style>
  <w:style w:type="paragraph" w:styleId="Data">
    <w:name w:val="Date"/>
    <w:basedOn w:val="Normalny"/>
    <w:next w:val="Normalny"/>
    <w:rsid w:val="00FE6C16"/>
  </w:style>
  <w:style w:type="paragraph" w:styleId="Podpis">
    <w:name w:val="Signature"/>
    <w:basedOn w:val="Normalny"/>
    <w:rsid w:val="00FE6C16"/>
    <w:pPr>
      <w:ind w:left="4252"/>
    </w:pPr>
  </w:style>
  <w:style w:type="paragraph" w:styleId="Stopka">
    <w:name w:val="footer"/>
    <w:basedOn w:val="Normalny"/>
    <w:link w:val="StopkaZnak"/>
    <w:uiPriority w:val="99"/>
    <w:rsid w:val="00FE6C16"/>
    <w:pPr>
      <w:tabs>
        <w:tab w:val="center" w:pos="4153"/>
        <w:tab w:val="right" w:pos="8306"/>
      </w:tabs>
    </w:pPr>
  </w:style>
  <w:style w:type="character" w:styleId="Pogrubienie">
    <w:name w:val="Strong"/>
    <w:basedOn w:val="Domylnaczcionkaakapitu"/>
    <w:uiPriority w:val="22"/>
    <w:qFormat/>
    <w:rsid w:val="00FE6C16"/>
    <w:rPr>
      <w:b/>
    </w:rPr>
  </w:style>
  <w:style w:type="character" w:styleId="Numerstrony">
    <w:name w:val="page number"/>
    <w:basedOn w:val="Domylnaczcionkaakapitu"/>
    <w:rsid w:val="007F519E"/>
  </w:style>
  <w:style w:type="paragraph" w:styleId="Zwykytekst">
    <w:name w:val="Plain Text"/>
    <w:basedOn w:val="Normalny"/>
    <w:rsid w:val="0094458C"/>
    <w:pPr>
      <w:spacing w:line="240" w:lineRule="auto"/>
    </w:pPr>
    <w:rPr>
      <w:rFonts w:ascii="Courier New" w:hAnsi="Courier New" w:cs="Courier New"/>
      <w:sz w:val="20"/>
    </w:rPr>
  </w:style>
  <w:style w:type="paragraph" w:styleId="Tekstprzypisudolnego">
    <w:name w:val="footnote text"/>
    <w:basedOn w:val="Normalny"/>
    <w:semiHidden/>
    <w:rsid w:val="00AC243D"/>
    <w:pPr>
      <w:spacing w:line="240" w:lineRule="auto"/>
    </w:pPr>
    <w:rPr>
      <w:sz w:val="20"/>
    </w:rPr>
  </w:style>
  <w:style w:type="character" w:styleId="Odwoanieprzypisudolnego">
    <w:name w:val="footnote reference"/>
    <w:basedOn w:val="Domylnaczcionkaakapitu"/>
    <w:semiHidden/>
    <w:rsid w:val="00AC243D"/>
    <w:rPr>
      <w:vertAlign w:val="superscript"/>
    </w:rPr>
  </w:style>
  <w:style w:type="paragraph" w:styleId="Tekstpodstawowy2">
    <w:name w:val="Body Text 2"/>
    <w:basedOn w:val="Normalny"/>
    <w:link w:val="Tekstpodstawowy2Znak"/>
    <w:rsid w:val="002A7617"/>
    <w:pPr>
      <w:spacing w:after="120" w:line="480" w:lineRule="auto"/>
    </w:pPr>
  </w:style>
  <w:style w:type="character" w:customStyle="1" w:styleId="Tekstpodstawowy2Znak">
    <w:name w:val="Tekst podstawowy 2 Znak"/>
    <w:basedOn w:val="Domylnaczcionkaakapitu"/>
    <w:link w:val="Tekstpodstawowy2"/>
    <w:rsid w:val="002A7617"/>
    <w:rPr>
      <w:sz w:val="24"/>
    </w:rPr>
  </w:style>
  <w:style w:type="paragraph" w:styleId="Tekstdymka">
    <w:name w:val="Balloon Text"/>
    <w:basedOn w:val="Normalny"/>
    <w:semiHidden/>
    <w:rsid w:val="00D658E5"/>
    <w:rPr>
      <w:rFonts w:ascii="Tahoma" w:hAnsi="Tahoma" w:cs="Tahoma"/>
      <w:sz w:val="16"/>
      <w:szCs w:val="16"/>
    </w:rPr>
  </w:style>
  <w:style w:type="paragraph" w:styleId="NormalnyWeb">
    <w:name w:val="Normal (Web)"/>
    <w:basedOn w:val="Normalny"/>
    <w:uiPriority w:val="99"/>
    <w:rsid w:val="0005587B"/>
    <w:pPr>
      <w:spacing w:before="100" w:beforeAutospacing="1" w:after="100" w:afterAutospacing="1" w:line="240" w:lineRule="auto"/>
    </w:pPr>
    <w:rPr>
      <w:szCs w:val="24"/>
    </w:rPr>
  </w:style>
  <w:style w:type="character" w:styleId="Hipercze">
    <w:name w:val="Hyperlink"/>
    <w:basedOn w:val="Domylnaczcionkaakapitu"/>
    <w:rsid w:val="0005587B"/>
    <w:rPr>
      <w:color w:val="0000FF"/>
      <w:u w:val="single"/>
    </w:rPr>
  </w:style>
  <w:style w:type="paragraph" w:customStyle="1" w:styleId="Akapitzlist1">
    <w:name w:val="Akapit z listą1"/>
    <w:basedOn w:val="Normalny"/>
    <w:rsid w:val="00011621"/>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rsid w:val="00A01E2A"/>
    <w:rPr>
      <w:sz w:val="16"/>
      <w:szCs w:val="16"/>
    </w:rPr>
  </w:style>
  <w:style w:type="paragraph" w:styleId="Tekstkomentarza">
    <w:name w:val="annotation text"/>
    <w:basedOn w:val="Normalny"/>
    <w:semiHidden/>
    <w:rsid w:val="00A01E2A"/>
    <w:rPr>
      <w:sz w:val="20"/>
    </w:rPr>
  </w:style>
  <w:style w:type="paragraph" w:styleId="Tematkomentarza">
    <w:name w:val="annotation subject"/>
    <w:basedOn w:val="Tekstkomentarza"/>
    <w:next w:val="Tekstkomentarza"/>
    <w:semiHidden/>
    <w:rsid w:val="00A01E2A"/>
    <w:rPr>
      <w:b/>
      <w:bCs/>
    </w:rPr>
  </w:style>
  <w:style w:type="paragraph" w:styleId="Tekstprzypisukocowego">
    <w:name w:val="endnote text"/>
    <w:basedOn w:val="Normalny"/>
    <w:link w:val="TekstprzypisukocowegoZnak"/>
    <w:rsid w:val="00C62064"/>
    <w:rPr>
      <w:sz w:val="20"/>
    </w:rPr>
  </w:style>
  <w:style w:type="character" w:customStyle="1" w:styleId="TekstprzypisukocowegoZnak">
    <w:name w:val="Tekst przypisu końcowego Znak"/>
    <w:basedOn w:val="Domylnaczcionkaakapitu"/>
    <w:link w:val="Tekstprzypisukocowego"/>
    <w:rsid w:val="00C62064"/>
  </w:style>
  <w:style w:type="character" w:styleId="Odwoanieprzypisukocowego">
    <w:name w:val="endnote reference"/>
    <w:basedOn w:val="Domylnaczcionkaakapitu"/>
    <w:rsid w:val="00C62064"/>
    <w:rPr>
      <w:vertAlign w:val="superscript"/>
    </w:rPr>
  </w:style>
  <w:style w:type="character" w:customStyle="1" w:styleId="fl1">
    <w:name w:val="fl1"/>
    <w:basedOn w:val="Domylnaczcionkaakapitu"/>
    <w:rsid w:val="00F96E94"/>
    <w:rPr>
      <w:vanish w:val="0"/>
      <w:webHidden w:val="0"/>
      <w:specVanish w:val="0"/>
    </w:rPr>
  </w:style>
  <w:style w:type="paragraph" w:customStyle="1" w:styleId="normalweb">
    <w:name w:val="normalweb"/>
    <w:basedOn w:val="Normalny"/>
    <w:rsid w:val="003978CE"/>
    <w:pPr>
      <w:spacing w:after="45" w:line="240" w:lineRule="auto"/>
    </w:pPr>
    <w:rPr>
      <w:szCs w:val="24"/>
    </w:rPr>
  </w:style>
  <w:style w:type="paragraph" w:styleId="Akapitzlist">
    <w:name w:val="List Paragraph"/>
    <w:basedOn w:val="Normalny"/>
    <w:uiPriority w:val="99"/>
    <w:qFormat/>
    <w:rsid w:val="00DB4716"/>
    <w:pPr>
      <w:widowControl w:val="0"/>
      <w:spacing w:line="240" w:lineRule="auto"/>
      <w:ind w:left="720"/>
      <w:contextualSpacing/>
    </w:pPr>
    <w:rPr>
      <w:rFonts w:ascii="Arial" w:hAnsi="Arial"/>
      <w:sz w:val="22"/>
    </w:rPr>
  </w:style>
  <w:style w:type="character" w:customStyle="1" w:styleId="temat2">
    <w:name w:val="temat2"/>
    <w:basedOn w:val="Domylnaczcionkaakapitu"/>
    <w:rsid w:val="001C0CD3"/>
  </w:style>
  <w:style w:type="character" w:customStyle="1" w:styleId="StopkaZnak">
    <w:name w:val="Stopka Znak"/>
    <w:basedOn w:val="Domylnaczcionkaakapitu"/>
    <w:link w:val="Stopka"/>
    <w:uiPriority w:val="99"/>
    <w:rsid w:val="004E592F"/>
    <w:rPr>
      <w:sz w:val="24"/>
    </w:rPr>
  </w:style>
  <w:style w:type="paragraph" w:styleId="Bezodstpw">
    <w:name w:val="No Spacing"/>
    <w:link w:val="BezodstpwZnak"/>
    <w:uiPriority w:val="1"/>
    <w:qFormat/>
    <w:rsid w:val="00B21FBE"/>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B21FBE"/>
    <w:rPr>
      <w:rFonts w:asciiTheme="minorHAnsi" w:eastAsiaTheme="minorEastAsia" w:hAnsiTheme="minorHAnsi" w:cstheme="minorBidi"/>
      <w:sz w:val="22"/>
      <w:szCs w:val="22"/>
      <w:lang w:eastAsia="en-US"/>
    </w:rPr>
  </w:style>
  <w:style w:type="character" w:customStyle="1" w:styleId="NagwekZnak">
    <w:name w:val="Nagłówek Znak"/>
    <w:basedOn w:val="Domylnaczcionkaakapitu"/>
    <w:link w:val="Nagwek"/>
    <w:uiPriority w:val="99"/>
    <w:rsid w:val="006A2A3E"/>
    <w:rPr>
      <w:rFonts w:ascii="Garamond" w:hAnsi="Garamond"/>
      <w:kern w:val="18"/>
      <w:sz w:val="24"/>
      <w:lang w:val="en-AU"/>
    </w:rPr>
  </w:style>
  <w:style w:type="character" w:customStyle="1" w:styleId="st1">
    <w:name w:val="st1"/>
    <w:basedOn w:val="Domylnaczcionkaakapitu"/>
    <w:rsid w:val="003F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863">
      <w:bodyDiv w:val="1"/>
      <w:marLeft w:val="0"/>
      <w:marRight w:val="0"/>
      <w:marTop w:val="0"/>
      <w:marBottom w:val="0"/>
      <w:divBdr>
        <w:top w:val="none" w:sz="0" w:space="0" w:color="auto"/>
        <w:left w:val="none" w:sz="0" w:space="0" w:color="auto"/>
        <w:bottom w:val="none" w:sz="0" w:space="0" w:color="auto"/>
        <w:right w:val="none" w:sz="0" w:space="0" w:color="auto"/>
      </w:divBdr>
    </w:div>
    <w:div w:id="506095333">
      <w:bodyDiv w:val="1"/>
      <w:marLeft w:val="0"/>
      <w:marRight w:val="0"/>
      <w:marTop w:val="0"/>
      <w:marBottom w:val="0"/>
      <w:divBdr>
        <w:top w:val="none" w:sz="0" w:space="0" w:color="auto"/>
        <w:left w:val="none" w:sz="0" w:space="0" w:color="auto"/>
        <w:bottom w:val="none" w:sz="0" w:space="0" w:color="auto"/>
        <w:right w:val="none" w:sz="0" w:space="0" w:color="auto"/>
      </w:divBdr>
    </w:div>
    <w:div w:id="513768848">
      <w:bodyDiv w:val="1"/>
      <w:marLeft w:val="0"/>
      <w:marRight w:val="0"/>
      <w:marTop w:val="0"/>
      <w:marBottom w:val="0"/>
      <w:divBdr>
        <w:top w:val="none" w:sz="0" w:space="0" w:color="auto"/>
        <w:left w:val="none" w:sz="0" w:space="0" w:color="auto"/>
        <w:bottom w:val="none" w:sz="0" w:space="0" w:color="auto"/>
        <w:right w:val="none" w:sz="0" w:space="0" w:color="auto"/>
      </w:divBdr>
    </w:div>
    <w:div w:id="589855070">
      <w:bodyDiv w:val="1"/>
      <w:marLeft w:val="0"/>
      <w:marRight w:val="0"/>
      <w:marTop w:val="0"/>
      <w:marBottom w:val="0"/>
      <w:divBdr>
        <w:top w:val="none" w:sz="0" w:space="0" w:color="auto"/>
        <w:left w:val="none" w:sz="0" w:space="0" w:color="auto"/>
        <w:bottom w:val="none" w:sz="0" w:space="0" w:color="auto"/>
        <w:right w:val="none" w:sz="0" w:space="0" w:color="auto"/>
      </w:divBdr>
      <w:divsChild>
        <w:div w:id="1660310671">
          <w:marLeft w:val="0"/>
          <w:marRight w:val="0"/>
          <w:marTop w:val="0"/>
          <w:marBottom w:val="0"/>
          <w:divBdr>
            <w:top w:val="none" w:sz="0" w:space="0" w:color="auto"/>
            <w:left w:val="none" w:sz="0" w:space="0" w:color="auto"/>
            <w:bottom w:val="none" w:sz="0" w:space="0" w:color="auto"/>
            <w:right w:val="none" w:sz="0" w:space="0" w:color="auto"/>
          </w:divBdr>
          <w:divsChild>
            <w:div w:id="1564415163">
              <w:marLeft w:val="0"/>
              <w:marRight w:val="0"/>
              <w:marTop w:val="217"/>
              <w:marBottom w:val="0"/>
              <w:divBdr>
                <w:top w:val="none" w:sz="0" w:space="0" w:color="auto"/>
                <w:left w:val="none" w:sz="0" w:space="0" w:color="auto"/>
                <w:bottom w:val="none" w:sz="0" w:space="0" w:color="auto"/>
                <w:right w:val="none" w:sz="0" w:space="0" w:color="auto"/>
              </w:divBdr>
              <w:divsChild>
                <w:div w:id="282273987">
                  <w:marLeft w:val="0"/>
                  <w:marRight w:val="0"/>
                  <w:marTop w:val="0"/>
                  <w:marBottom w:val="0"/>
                  <w:divBdr>
                    <w:top w:val="none" w:sz="0" w:space="0" w:color="auto"/>
                    <w:left w:val="none" w:sz="0" w:space="0" w:color="auto"/>
                    <w:bottom w:val="none" w:sz="0" w:space="0" w:color="auto"/>
                    <w:right w:val="none" w:sz="0" w:space="0" w:color="auto"/>
                  </w:divBdr>
                  <w:divsChild>
                    <w:div w:id="45034486">
                      <w:marLeft w:val="14"/>
                      <w:marRight w:val="0"/>
                      <w:marTop w:val="14"/>
                      <w:marBottom w:val="0"/>
                      <w:divBdr>
                        <w:top w:val="none" w:sz="0" w:space="0" w:color="auto"/>
                        <w:left w:val="none" w:sz="0" w:space="0" w:color="auto"/>
                        <w:bottom w:val="none" w:sz="0" w:space="0" w:color="auto"/>
                        <w:right w:val="none" w:sz="0" w:space="0" w:color="auto"/>
                      </w:divBdr>
                      <w:divsChild>
                        <w:div w:id="1794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51589">
      <w:bodyDiv w:val="1"/>
      <w:marLeft w:val="0"/>
      <w:marRight w:val="0"/>
      <w:marTop w:val="0"/>
      <w:marBottom w:val="0"/>
      <w:divBdr>
        <w:top w:val="none" w:sz="0" w:space="0" w:color="auto"/>
        <w:left w:val="none" w:sz="0" w:space="0" w:color="auto"/>
        <w:bottom w:val="none" w:sz="0" w:space="0" w:color="auto"/>
        <w:right w:val="none" w:sz="0" w:space="0" w:color="auto"/>
      </w:divBdr>
    </w:div>
    <w:div w:id="710689262">
      <w:bodyDiv w:val="1"/>
      <w:marLeft w:val="0"/>
      <w:marRight w:val="0"/>
      <w:marTop w:val="0"/>
      <w:marBottom w:val="0"/>
      <w:divBdr>
        <w:top w:val="none" w:sz="0" w:space="0" w:color="auto"/>
        <w:left w:val="none" w:sz="0" w:space="0" w:color="auto"/>
        <w:bottom w:val="none" w:sz="0" w:space="0" w:color="auto"/>
        <w:right w:val="none" w:sz="0" w:space="0" w:color="auto"/>
      </w:divBdr>
    </w:div>
    <w:div w:id="762997937">
      <w:bodyDiv w:val="1"/>
      <w:marLeft w:val="0"/>
      <w:marRight w:val="0"/>
      <w:marTop w:val="0"/>
      <w:marBottom w:val="0"/>
      <w:divBdr>
        <w:top w:val="none" w:sz="0" w:space="0" w:color="auto"/>
        <w:left w:val="none" w:sz="0" w:space="0" w:color="auto"/>
        <w:bottom w:val="none" w:sz="0" w:space="0" w:color="auto"/>
        <w:right w:val="none" w:sz="0" w:space="0" w:color="auto"/>
      </w:divBdr>
      <w:divsChild>
        <w:div w:id="916019497">
          <w:marLeft w:val="0"/>
          <w:marRight w:val="0"/>
          <w:marTop w:val="0"/>
          <w:marBottom w:val="0"/>
          <w:divBdr>
            <w:top w:val="none" w:sz="0" w:space="0" w:color="auto"/>
            <w:left w:val="none" w:sz="0" w:space="0" w:color="auto"/>
            <w:bottom w:val="none" w:sz="0" w:space="0" w:color="auto"/>
            <w:right w:val="none" w:sz="0" w:space="0" w:color="auto"/>
          </w:divBdr>
          <w:divsChild>
            <w:div w:id="879125125">
              <w:marLeft w:val="0"/>
              <w:marRight w:val="0"/>
              <w:marTop w:val="0"/>
              <w:marBottom w:val="0"/>
              <w:divBdr>
                <w:top w:val="none" w:sz="0" w:space="0" w:color="auto"/>
                <w:left w:val="none" w:sz="0" w:space="0" w:color="auto"/>
                <w:bottom w:val="none" w:sz="0" w:space="0" w:color="auto"/>
                <w:right w:val="none" w:sz="0" w:space="0" w:color="auto"/>
              </w:divBdr>
              <w:divsChild>
                <w:div w:id="715811161">
                  <w:marLeft w:val="0"/>
                  <w:marRight w:val="0"/>
                  <w:marTop w:val="0"/>
                  <w:marBottom w:val="0"/>
                  <w:divBdr>
                    <w:top w:val="none" w:sz="0" w:space="0" w:color="auto"/>
                    <w:left w:val="none" w:sz="0" w:space="0" w:color="auto"/>
                    <w:bottom w:val="none" w:sz="0" w:space="0" w:color="auto"/>
                    <w:right w:val="none" w:sz="0" w:space="0" w:color="auto"/>
                  </w:divBdr>
                  <w:divsChild>
                    <w:div w:id="246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0635">
      <w:bodyDiv w:val="1"/>
      <w:marLeft w:val="0"/>
      <w:marRight w:val="0"/>
      <w:marTop w:val="0"/>
      <w:marBottom w:val="0"/>
      <w:divBdr>
        <w:top w:val="none" w:sz="0" w:space="0" w:color="auto"/>
        <w:left w:val="none" w:sz="0" w:space="0" w:color="auto"/>
        <w:bottom w:val="none" w:sz="0" w:space="0" w:color="auto"/>
        <w:right w:val="none" w:sz="0" w:space="0" w:color="auto"/>
      </w:divBdr>
    </w:div>
    <w:div w:id="1128475623">
      <w:bodyDiv w:val="1"/>
      <w:marLeft w:val="0"/>
      <w:marRight w:val="0"/>
      <w:marTop w:val="0"/>
      <w:marBottom w:val="0"/>
      <w:divBdr>
        <w:top w:val="none" w:sz="0" w:space="0" w:color="auto"/>
        <w:left w:val="none" w:sz="0" w:space="0" w:color="auto"/>
        <w:bottom w:val="none" w:sz="0" w:space="0" w:color="auto"/>
        <w:right w:val="none" w:sz="0" w:space="0" w:color="auto"/>
      </w:divBdr>
      <w:divsChild>
        <w:div w:id="707293447">
          <w:marLeft w:val="0"/>
          <w:marRight w:val="0"/>
          <w:marTop w:val="0"/>
          <w:marBottom w:val="0"/>
          <w:divBdr>
            <w:top w:val="none" w:sz="0" w:space="0" w:color="auto"/>
            <w:left w:val="none" w:sz="0" w:space="0" w:color="auto"/>
            <w:bottom w:val="none" w:sz="0" w:space="0" w:color="auto"/>
            <w:right w:val="none" w:sz="0" w:space="0" w:color="auto"/>
          </w:divBdr>
          <w:divsChild>
            <w:div w:id="829708996">
              <w:marLeft w:val="0"/>
              <w:marRight w:val="0"/>
              <w:marTop w:val="0"/>
              <w:marBottom w:val="0"/>
              <w:divBdr>
                <w:top w:val="none" w:sz="0" w:space="0" w:color="auto"/>
                <w:left w:val="none" w:sz="0" w:space="0" w:color="auto"/>
                <w:bottom w:val="none" w:sz="0" w:space="0" w:color="auto"/>
                <w:right w:val="none" w:sz="0" w:space="0" w:color="auto"/>
              </w:divBdr>
              <w:divsChild>
                <w:div w:id="330721005">
                  <w:marLeft w:val="0"/>
                  <w:marRight w:val="0"/>
                  <w:marTop w:val="0"/>
                  <w:marBottom w:val="0"/>
                  <w:divBdr>
                    <w:top w:val="none" w:sz="0" w:space="0" w:color="auto"/>
                    <w:left w:val="none" w:sz="0" w:space="0" w:color="auto"/>
                    <w:bottom w:val="none" w:sz="0" w:space="0" w:color="auto"/>
                    <w:right w:val="none" w:sz="0" w:space="0" w:color="auto"/>
                  </w:divBdr>
                  <w:divsChild>
                    <w:div w:id="674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2378">
      <w:bodyDiv w:val="1"/>
      <w:marLeft w:val="0"/>
      <w:marRight w:val="0"/>
      <w:marTop w:val="0"/>
      <w:marBottom w:val="0"/>
      <w:divBdr>
        <w:top w:val="none" w:sz="0" w:space="0" w:color="auto"/>
        <w:left w:val="none" w:sz="0" w:space="0" w:color="auto"/>
        <w:bottom w:val="none" w:sz="0" w:space="0" w:color="auto"/>
        <w:right w:val="none" w:sz="0" w:space="0" w:color="auto"/>
      </w:divBdr>
    </w:div>
    <w:div w:id="1260603853">
      <w:bodyDiv w:val="1"/>
      <w:marLeft w:val="0"/>
      <w:marRight w:val="0"/>
      <w:marTop w:val="0"/>
      <w:marBottom w:val="0"/>
      <w:divBdr>
        <w:top w:val="none" w:sz="0" w:space="0" w:color="auto"/>
        <w:left w:val="none" w:sz="0" w:space="0" w:color="auto"/>
        <w:bottom w:val="none" w:sz="0" w:space="0" w:color="auto"/>
        <w:right w:val="none" w:sz="0" w:space="0" w:color="auto"/>
      </w:divBdr>
      <w:divsChild>
        <w:div w:id="2007978642">
          <w:marLeft w:val="0"/>
          <w:marRight w:val="0"/>
          <w:marTop w:val="0"/>
          <w:marBottom w:val="0"/>
          <w:divBdr>
            <w:top w:val="none" w:sz="0" w:space="0" w:color="auto"/>
            <w:left w:val="none" w:sz="0" w:space="0" w:color="auto"/>
            <w:bottom w:val="none" w:sz="0" w:space="0" w:color="auto"/>
            <w:right w:val="none" w:sz="0" w:space="0" w:color="auto"/>
          </w:divBdr>
          <w:divsChild>
            <w:div w:id="1202133444">
              <w:marLeft w:val="0"/>
              <w:marRight w:val="0"/>
              <w:marTop w:val="0"/>
              <w:marBottom w:val="0"/>
              <w:divBdr>
                <w:top w:val="none" w:sz="0" w:space="0" w:color="auto"/>
                <w:left w:val="none" w:sz="0" w:space="0" w:color="auto"/>
                <w:bottom w:val="none" w:sz="0" w:space="0" w:color="auto"/>
                <w:right w:val="none" w:sz="0" w:space="0" w:color="auto"/>
              </w:divBdr>
              <w:divsChild>
                <w:div w:id="1252929821">
                  <w:marLeft w:val="0"/>
                  <w:marRight w:val="0"/>
                  <w:marTop w:val="0"/>
                  <w:marBottom w:val="0"/>
                  <w:divBdr>
                    <w:top w:val="none" w:sz="0" w:space="0" w:color="auto"/>
                    <w:left w:val="none" w:sz="0" w:space="0" w:color="auto"/>
                    <w:bottom w:val="none" w:sz="0" w:space="0" w:color="auto"/>
                    <w:right w:val="none" w:sz="0" w:space="0" w:color="auto"/>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7835">
      <w:bodyDiv w:val="1"/>
      <w:marLeft w:val="0"/>
      <w:marRight w:val="0"/>
      <w:marTop w:val="0"/>
      <w:marBottom w:val="0"/>
      <w:divBdr>
        <w:top w:val="none" w:sz="0" w:space="0" w:color="auto"/>
        <w:left w:val="none" w:sz="0" w:space="0" w:color="auto"/>
        <w:bottom w:val="none" w:sz="0" w:space="0" w:color="auto"/>
        <w:right w:val="none" w:sz="0" w:space="0" w:color="auto"/>
      </w:divBdr>
      <w:divsChild>
        <w:div w:id="1101216928">
          <w:marLeft w:val="0"/>
          <w:marRight w:val="0"/>
          <w:marTop w:val="0"/>
          <w:marBottom w:val="0"/>
          <w:divBdr>
            <w:top w:val="none" w:sz="0" w:space="0" w:color="auto"/>
            <w:left w:val="none" w:sz="0" w:space="0" w:color="auto"/>
            <w:bottom w:val="none" w:sz="0" w:space="0" w:color="auto"/>
            <w:right w:val="none" w:sz="0" w:space="0" w:color="auto"/>
          </w:divBdr>
          <w:divsChild>
            <w:div w:id="598876397">
              <w:marLeft w:val="0"/>
              <w:marRight w:val="0"/>
              <w:marTop w:val="217"/>
              <w:marBottom w:val="0"/>
              <w:divBdr>
                <w:top w:val="none" w:sz="0" w:space="0" w:color="auto"/>
                <w:left w:val="none" w:sz="0" w:space="0" w:color="auto"/>
                <w:bottom w:val="none" w:sz="0" w:space="0" w:color="auto"/>
                <w:right w:val="none" w:sz="0" w:space="0" w:color="auto"/>
              </w:divBdr>
              <w:divsChild>
                <w:div w:id="1403335634">
                  <w:marLeft w:val="0"/>
                  <w:marRight w:val="0"/>
                  <w:marTop w:val="0"/>
                  <w:marBottom w:val="0"/>
                  <w:divBdr>
                    <w:top w:val="none" w:sz="0" w:space="0" w:color="auto"/>
                    <w:left w:val="none" w:sz="0" w:space="0" w:color="auto"/>
                    <w:bottom w:val="none" w:sz="0" w:space="0" w:color="auto"/>
                    <w:right w:val="none" w:sz="0" w:space="0" w:color="auto"/>
                  </w:divBdr>
                  <w:divsChild>
                    <w:div w:id="731006983">
                      <w:marLeft w:val="14"/>
                      <w:marRight w:val="0"/>
                      <w:marTop w:val="14"/>
                      <w:marBottom w:val="0"/>
                      <w:divBdr>
                        <w:top w:val="none" w:sz="0" w:space="0" w:color="auto"/>
                        <w:left w:val="none" w:sz="0" w:space="0" w:color="auto"/>
                        <w:bottom w:val="none" w:sz="0" w:space="0" w:color="auto"/>
                        <w:right w:val="none" w:sz="0" w:space="0" w:color="auto"/>
                      </w:divBdr>
                      <w:divsChild>
                        <w:div w:id="460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5898">
      <w:bodyDiv w:val="1"/>
      <w:marLeft w:val="0"/>
      <w:marRight w:val="0"/>
      <w:marTop w:val="0"/>
      <w:marBottom w:val="0"/>
      <w:divBdr>
        <w:top w:val="none" w:sz="0" w:space="0" w:color="auto"/>
        <w:left w:val="none" w:sz="0" w:space="0" w:color="auto"/>
        <w:bottom w:val="none" w:sz="0" w:space="0" w:color="auto"/>
        <w:right w:val="none" w:sz="0" w:space="0" w:color="auto"/>
      </w:divBdr>
    </w:div>
    <w:div w:id="1544633607">
      <w:bodyDiv w:val="1"/>
      <w:marLeft w:val="0"/>
      <w:marRight w:val="0"/>
      <w:marTop w:val="0"/>
      <w:marBottom w:val="0"/>
      <w:divBdr>
        <w:top w:val="none" w:sz="0" w:space="0" w:color="auto"/>
        <w:left w:val="none" w:sz="0" w:space="0" w:color="auto"/>
        <w:bottom w:val="none" w:sz="0" w:space="0" w:color="auto"/>
        <w:right w:val="none" w:sz="0" w:space="0" w:color="auto"/>
      </w:divBdr>
    </w:div>
    <w:div w:id="1564173577">
      <w:bodyDiv w:val="1"/>
      <w:marLeft w:val="0"/>
      <w:marRight w:val="0"/>
      <w:marTop w:val="0"/>
      <w:marBottom w:val="0"/>
      <w:divBdr>
        <w:top w:val="none" w:sz="0" w:space="0" w:color="auto"/>
        <w:left w:val="none" w:sz="0" w:space="0" w:color="auto"/>
        <w:bottom w:val="none" w:sz="0" w:space="0" w:color="auto"/>
        <w:right w:val="none" w:sz="0" w:space="0" w:color="auto"/>
      </w:divBdr>
    </w:div>
    <w:div w:id="1758090672">
      <w:bodyDiv w:val="1"/>
      <w:marLeft w:val="0"/>
      <w:marRight w:val="0"/>
      <w:marTop w:val="0"/>
      <w:marBottom w:val="0"/>
      <w:divBdr>
        <w:top w:val="none" w:sz="0" w:space="0" w:color="auto"/>
        <w:left w:val="none" w:sz="0" w:space="0" w:color="auto"/>
        <w:bottom w:val="none" w:sz="0" w:space="0" w:color="auto"/>
        <w:right w:val="none" w:sz="0" w:space="0" w:color="auto"/>
      </w:divBdr>
      <w:divsChild>
        <w:div w:id="37124060">
          <w:marLeft w:val="0"/>
          <w:marRight w:val="0"/>
          <w:marTop w:val="0"/>
          <w:marBottom w:val="0"/>
          <w:divBdr>
            <w:top w:val="none" w:sz="0" w:space="0" w:color="auto"/>
            <w:left w:val="none" w:sz="0" w:space="0" w:color="auto"/>
            <w:bottom w:val="none" w:sz="0" w:space="0" w:color="auto"/>
            <w:right w:val="none" w:sz="0" w:space="0" w:color="auto"/>
          </w:divBdr>
          <w:divsChild>
            <w:div w:id="290862150">
              <w:marLeft w:val="0"/>
              <w:marRight w:val="0"/>
              <w:marTop w:val="0"/>
              <w:marBottom w:val="0"/>
              <w:divBdr>
                <w:top w:val="none" w:sz="0" w:space="0" w:color="auto"/>
                <w:left w:val="none" w:sz="0" w:space="0" w:color="auto"/>
                <w:bottom w:val="none" w:sz="0" w:space="0" w:color="auto"/>
                <w:right w:val="none" w:sz="0" w:space="0" w:color="auto"/>
              </w:divBdr>
              <w:divsChild>
                <w:div w:id="1674451300">
                  <w:marLeft w:val="0"/>
                  <w:marRight w:val="0"/>
                  <w:marTop w:val="0"/>
                  <w:marBottom w:val="0"/>
                  <w:divBdr>
                    <w:top w:val="none" w:sz="0" w:space="0" w:color="auto"/>
                    <w:left w:val="none" w:sz="0" w:space="0" w:color="auto"/>
                    <w:bottom w:val="none" w:sz="0" w:space="0" w:color="auto"/>
                    <w:right w:val="none" w:sz="0" w:space="0" w:color="auto"/>
                  </w:divBdr>
                  <w:divsChild>
                    <w:div w:id="1582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6486">
      <w:bodyDiv w:val="1"/>
      <w:marLeft w:val="0"/>
      <w:marRight w:val="0"/>
      <w:marTop w:val="0"/>
      <w:marBottom w:val="0"/>
      <w:divBdr>
        <w:top w:val="none" w:sz="0" w:space="0" w:color="auto"/>
        <w:left w:val="none" w:sz="0" w:space="0" w:color="auto"/>
        <w:bottom w:val="none" w:sz="0" w:space="0" w:color="auto"/>
        <w:right w:val="none" w:sz="0" w:space="0" w:color="auto"/>
      </w:divBdr>
    </w:div>
    <w:div w:id="20800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ek\Dane%20aplikacji\Microsoft\Szablony\popihn2008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06CD-45D9-47B3-917B-B14030DC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popihn2008b.dot</Template>
  <TotalTime>25</TotalTime>
  <Pages>8</Pages>
  <Words>4546</Words>
  <Characters>27276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POLSKA ORGANIZACJA</vt:lpstr>
    </vt:vector>
  </TitlesOfParts>
  <Company>POPiHN</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 ORGANIZACJA</dc:title>
  <dc:creator>Jacek Wróblewski</dc:creator>
  <cp:lastModifiedBy>Ania</cp:lastModifiedBy>
  <cp:revision>8</cp:revision>
  <cp:lastPrinted>2015-02-03T12:17:00Z</cp:lastPrinted>
  <dcterms:created xsi:type="dcterms:W3CDTF">2015-03-02T18:57:00Z</dcterms:created>
  <dcterms:modified xsi:type="dcterms:W3CDTF">2015-03-03T13:07:00Z</dcterms:modified>
</cp:coreProperties>
</file>