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6A46" w14:textId="77777777" w:rsidR="00124B00" w:rsidRPr="00061368" w:rsidRDefault="005D0690" w:rsidP="00124B00">
      <w:pPr>
        <w:spacing w:after="240" w:line="240" w:lineRule="auto"/>
        <w:jc w:val="right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 xml:space="preserve"> </w:t>
      </w:r>
      <w:r w:rsidR="00124B00" w:rsidRPr="00061368">
        <w:rPr>
          <w:rFonts w:asciiTheme="minorHAnsi" w:hAnsiTheme="minorHAnsi" w:cstheme="minorHAnsi"/>
          <w:szCs w:val="24"/>
        </w:rPr>
        <w:t>Warszawa, 29.11.2022 r.</w:t>
      </w:r>
    </w:p>
    <w:p w14:paraId="57BEFE35" w14:textId="2B2F3984" w:rsidR="00124B00" w:rsidRPr="00061368" w:rsidRDefault="00124B00" w:rsidP="00124B00">
      <w:pPr>
        <w:spacing w:after="24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61368">
        <w:rPr>
          <w:rFonts w:asciiTheme="minorHAnsi" w:hAnsiTheme="minorHAnsi" w:cstheme="minorHAnsi"/>
          <w:b/>
          <w:bCs/>
          <w:szCs w:val="24"/>
        </w:rPr>
        <w:t>„Zielony transport. Stan obecny i perspektywy”</w:t>
      </w:r>
    </w:p>
    <w:p w14:paraId="722A0125" w14:textId="7E420428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061368">
        <w:rPr>
          <w:rFonts w:asciiTheme="minorHAnsi" w:hAnsiTheme="minorHAnsi" w:cstheme="minorHAnsi"/>
          <w:b/>
          <w:bCs/>
          <w:szCs w:val="24"/>
        </w:rPr>
        <w:t>Zmiana modelu transportu będzie w najbliższych latach kluczowym wyzwaniem dla Polski, m.in. ze względu na politykę Unii Europejskiej oraz inwestycje firm paliwowych i motoryzacyjnych. Tematowi „zielonej transformacji” poświęcony jest najnowszy raport POPiHN powstały we współpracy organizacji branżowych związanych z sektorem transportu.</w:t>
      </w:r>
    </w:p>
    <w:p w14:paraId="136D3406" w14:textId="2BCA518C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 xml:space="preserve">Za sprawą rosyjskiej agresji na Ukrainę 2022 r. okazał się jednym z najmniej stabilnych okresów dla branży paliwowej i motoryzacyjnej. – </w:t>
      </w:r>
      <w:r w:rsidRPr="00061368">
        <w:rPr>
          <w:rFonts w:asciiTheme="minorHAnsi" w:hAnsiTheme="minorHAnsi" w:cstheme="minorHAnsi"/>
          <w:i/>
          <w:iCs/>
          <w:szCs w:val="24"/>
        </w:rPr>
        <w:t>Tegoroczne wydarzenia powinny skłonić nas do dyskusji na temat przyszłości transportu, m.in. sposobu jego zasilania. Rozwiązaniem jest stopniowe odchodzenie od paliw kopalnych na rzecz wykorzystywania napędów niskoemisyjnych</w:t>
      </w:r>
      <w:r w:rsidRPr="00061368">
        <w:rPr>
          <w:rFonts w:asciiTheme="minorHAnsi" w:hAnsiTheme="minorHAnsi" w:cstheme="minorHAnsi"/>
          <w:szCs w:val="24"/>
        </w:rPr>
        <w:t xml:space="preserve"> – mówi Leszek Wiwała, Prezes-Dyrektor Generalny Polskiej Organizacji Przemysłu i Handlu Naftowego (POPiHN). Jego zdaniem argumentem do dyskusji na ten temat będzie wchodzące w życie 5 grudnia 2022 r. unijne embargo na import ropy naftowej z Rosji drogą morską.</w:t>
      </w:r>
    </w:p>
    <w:p w14:paraId="5F717EA1" w14:textId="4CB137AC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 xml:space="preserve">Kwestię przyszłości transportu porusza raport pt.: „Zielony transport. Stan obecny i perspektywy” przygotowany przez POPiHN we współpracy z Krajową Izbą Biopaliw, Polską Koalicją Biopaliw i Pasz Białkowych, Polską Izbą Gazu Płynnego, Polską Platformą LNG i Bio-LNG, Polskim Związkiem Przemysłu Motoryzacyjnego, </w:t>
      </w:r>
      <w:bookmarkStart w:id="0" w:name="_Hlk75167411"/>
      <w:r w:rsidRPr="00061368">
        <w:rPr>
          <w:rFonts w:asciiTheme="minorHAnsi" w:hAnsiTheme="minorHAnsi" w:cstheme="minorHAnsi"/>
          <w:szCs w:val="24"/>
        </w:rPr>
        <w:t xml:space="preserve">Stowarzyszeniem Dystrybutorów i Producentów Części Motoryzacyjnych (SDCM), </w:t>
      </w:r>
      <w:bookmarkEnd w:id="0"/>
      <w:r w:rsidRPr="00061368">
        <w:rPr>
          <w:rFonts w:asciiTheme="minorHAnsi" w:hAnsiTheme="minorHAnsi" w:cstheme="minorHAnsi"/>
          <w:szCs w:val="24"/>
        </w:rPr>
        <w:t xml:space="preserve">Związkiem Pracodawców </w:t>
      </w:r>
      <w:r w:rsidR="00061368">
        <w:rPr>
          <w:rFonts w:asciiTheme="minorHAnsi" w:hAnsiTheme="minorHAnsi" w:cstheme="minorHAnsi"/>
          <w:szCs w:val="24"/>
        </w:rPr>
        <w:t>„</w:t>
      </w:r>
      <w:r w:rsidRPr="00061368">
        <w:rPr>
          <w:rFonts w:asciiTheme="minorHAnsi" w:hAnsiTheme="minorHAnsi" w:cstheme="minorHAnsi"/>
          <w:szCs w:val="24"/>
        </w:rPr>
        <w:t>Transport i Logistyka Polska</w:t>
      </w:r>
      <w:r w:rsidR="00061368">
        <w:rPr>
          <w:rFonts w:asciiTheme="minorHAnsi" w:hAnsiTheme="minorHAnsi" w:cstheme="minorHAnsi"/>
          <w:szCs w:val="24"/>
        </w:rPr>
        <w:t>”</w:t>
      </w:r>
      <w:r w:rsidRPr="00061368">
        <w:rPr>
          <w:rFonts w:asciiTheme="minorHAnsi" w:hAnsiTheme="minorHAnsi" w:cstheme="minorHAnsi"/>
          <w:szCs w:val="24"/>
        </w:rPr>
        <w:t xml:space="preserve"> oraz Polskim Komitetem Energii Elektrycznej, a także Krajowym Ośrodkiem Bilansowania i Zarządzania Emisjami (KOBiZE) oraz Instytutem Nafty i Gazu. Raport przedstawia m.in. trendy związane z „zazielenianiem transportu” w Polsce i na świecie, omawia dostępne technologie i rozwiązania, wskazuje na koszty oraz wyzwania stojące przed gospodarką. </w:t>
      </w:r>
      <w:r w:rsidRPr="00061368">
        <w:rPr>
          <w:rFonts w:asciiTheme="minorHAnsi" w:hAnsiTheme="minorHAnsi" w:cstheme="minorHAnsi"/>
          <w:i/>
          <w:iCs/>
          <w:szCs w:val="24"/>
        </w:rPr>
        <w:t xml:space="preserve">– Pandemia SARS-CoV-2 i wojna w Ukrainie nie zatrzymały zmian, choć w różnych krajach transformacja przebiega inaczej. Na tle Unii Europejskiej w Polsce nie są one wciąż znaczące, ale musimy się przygotować, że wcześniej czy później dotrą także do nas </w:t>
      </w:r>
      <w:r w:rsidRPr="00061368">
        <w:rPr>
          <w:rFonts w:asciiTheme="minorHAnsi" w:hAnsiTheme="minorHAnsi" w:cstheme="minorHAnsi"/>
          <w:szCs w:val="24"/>
        </w:rPr>
        <w:t>– mówi Maciej Wroński, Prezes Związku Pracodawców „Transport i Logistyka Polska”.</w:t>
      </w:r>
    </w:p>
    <w:p w14:paraId="31A09E5C" w14:textId="56879737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>Poza ekologią i ograniczaniem emisji CO</w:t>
      </w:r>
      <w:r w:rsidRPr="00061368">
        <w:rPr>
          <w:rFonts w:asciiTheme="minorHAnsi" w:hAnsiTheme="minorHAnsi" w:cstheme="minorHAnsi"/>
          <w:szCs w:val="24"/>
          <w:vertAlign w:val="subscript"/>
        </w:rPr>
        <w:t>2</w:t>
      </w:r>
      <w:r w:rsidRPr="00061368">
        <w:rPr>
          <w:rFonts w:asciiTheme="minorHAnsi" w:hAnsiTheme="minorHAnsi" w:cstheme="minorHAnsi"/>
          <w:szCs w:val="24"/>
        </w:rPr>
        <w:t xml:space="preserve"> argumentem za transformacją transportu jest nie tylko bezpieczeństwo państwa, ale też bilans korzyści. Wysokie ceny paliw kopalnych zwiększają inflację i ograniczają inwestycje. </w:t>
      </w:r>
      <w:r w:rsidRPr="00061368">
        <w:rPr>
          <w:rFonts w:asciiTheme="minorHAnsi" w:hAnsiTheme="minorHAnsi" w:cstheme="minorHAnsi"/>
          <w:i/>
          <w:iCs/>
          <w:szCs w:val="24"/>
        </w:rPr>
        <w:t>– Choć zmiany klimatyczne wymuszają rozwój „zielonych” technologii w transporcie, to istnieją rozbieżne opinie, w jaki sposób i w jakim czasie można osiągnąć ambitne cele. Kluczowymi czynnikami wpływającymi na nieuchronne zmiany jest polityka regulacyjna Unii Europejskiej oraz inwestycje w branży paliwowej i motoryzacyjnej</w:t>
      </w:r>
      <w:r w:rsidRPr="00061368">
        <w:rPr>
          <w:rFonts w:asciiTheme="minorHAnsi" w:hAnsiTheme="minorHAnsi" w:cstheme="minorHAnsi"/>
          <w:szCs w:val="24"/>
        </w:rPr>
        <w:t xml:space="preserve">. </w:t>
      </w:r>
      <w:r w:rsidRPr="00061368">
        <w:rPr>
          <w:rFonts w:asciiTheme="minorHAnsi" w:hAnsiTheme="minorHAnsi" w:cstheme="minorHAnsi"/>
          <w:i/>
          <w:iCs/>
          <w:szCs w:val="24"/>
        </w:rPr>
        <w:t xml:space="preserve">Europejscy producenci samochodów planują wydać na inwestycje związane z produkcją aut elektrycznych i zasilających je akumulatorów ponad 245 mld dol. Oferta w tym segmencie z roku na rok będzie coraz atrakcyjniejsza, a zakup i eksploatacja klasycznych pojazdów spalinowych może stać się droższa – </w:t>
      </w:r>
      <w:r w:rsidRPr="00061368">
        <w:rPr>
          <w:rFonts w:asciiTheme="minorHAnsi" w:hAnsiTheme="minorHAnsi" w:cstheme="minorHAnsi"/>
          <w:szCs w:val="24"/>
        </w:rPr>
        <w:t>mówi Michał Wekiera, Dyrektor Wykonawczy Polskiego Związku Przemysłu Motoryzacyjnego.</w:t>
      </w:r>
    </w:p>
    <w:p w14:paraId="79E80284" w14:textId="734EB50F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lastRenderedPageBreak/>
        <w:t>„Zielona transformacja” w transporcie kojarzy się często głównie z elektromobilnością. W rzeczywistości istnieje szereg technologii pozwalających na zastąpienie paliw kopalnych alternatywami przyjaźniejszymi środowisku, np. biopaliwa, ogniwa paliw</w:t>
      </w:r>
      <w:r w:rsidR="00061368" w:rsidRPr="00061368">
        <w:rPr>
          <w:rFonts w:asciiTheme="minorHAnsi" w:hAnsiTheme="minorHAnsi" w:cstheme="minorHAnsi"/>
          <w:szCs w:val="24"/>
        </w:rPr>
        <w:t xml:space="preserve">owe </w:t>
      </w:r>
      <w:r w:rsidRPr="00061368">
        <w:rPr>
          <w:rFonts w:asciiTheme="minorHAnsi" w:hAnsiTheme="minorHAnsi" w:cstheme="minorHAnsi"/>
          <w:szCs w:val="24"/>
        </w:rPr>
        <w:t>wykorzystując</w:t>
      </w:r>
      <w:r w:rsidR="00061368" w:rsidRPr="00061368">
        <w:rPr>
          <w:rFonts w:asciiTheme="minorHAnsi" w:hAnsiTheme="minorHAnsi" w:cstheme="minorHAnsi"/>
          <w:szCs w:val="24"/>
        </w:rPr>
        <w:t>e</w:t>
      </w:r>
      <w:r w:rsidRPr="00061368">
        <w:rPr>
          <w:rFonts w:asciiTheme="minorHAnsi" w:hAnsiTheme="minorHAnsi" w:cstheme="minorHAnsi"/>
          <w:szCs w:val="24"/>
        </w:rPr>
        <w:t xml:space="preserve"> tzw. zielony wodór czy biogaz. Na świecie trwa wyścig technologiczny i </w:t>
      </w:r>
      <w:r w:rsidR="00061368" w:rsidRPr="00061368">
        <w:rPr>
          <w:rFonts w:asciiTheme="minorHAnsi" w:hAnsiTheme="minorHAnsi" w:cstheme="minorHAnsi"/>
          <w:szCs w:val="24"/>
        </w:rPr>
        <w:t xml:space="preserve">nie jest </w:t>
      </w:r>
      <w:r w:rsidRPr="00061368">
        <w:rPr>
          <w:rFonts w:asciiTheme="minorHAnsi" w:hAnsiTheme="minorHAnsi" w:cstheme="minorHAnsi"/>
          <w:szCs w:val="24"/>
        </w:rPr>
        <w:t>wcale przesądzone, z jakich technologii będziemy korzystać</w:t>
      </w:r>
      <w:r w:rsidR="00061368">
        <w:rPr>
          <w:rFonts w:asciiTheme="minorHAnsi" w:hAnsiTheme="minorHAnsi" w:cstheme="minorHAnsi"/>
          <w:szCs w:val="24"/>
        </w:rPr>
        <w:t xml:space="preserve"> w przyszłości</w:t>
      </w:r>
      <w:r w:rsidRPr="00061368">
        <w:rPr>
          <w:rFonts w:asciiTheme="minorHAnsi" w:hAnsiTheme="minorHAnsi" w:cstheme="minorHAnsi"/>
          <w:szCs w:val="24"/>
        </w:rPr>
        <w:t>.</w:t>
      </w:r>
    </w:p>
    <w:p w14:paraId="54B56CA6" w14:textId="20546986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>Na koniec października 2022 r. w Polsce park elektrycznych samochodów osobowych liczył 56,9 tys. sztuk, w tym z prawie 28,4 tys. pojazdów elektrycznych zasilanych wyłącznie z baterii (BEV). Samochody elektryczne stanowią aktualnie mniej niż 3 proc. wszystkich noworejestrowanych aut w Polsce, podczas gdy w skali całej Unii Europejskiej czterokrotnie więcej. Według informacji Eurostatu udział tzw. zielonej energii w zasilaniu transportu w Polsce wynosił w 2020 r. 6,58 proc., tymczasem w Unii Europejskiej było to ponad 10 proc.</w:t>
      </w:r>
    </w:p>
    <w:p w14:paraId="4F160F52" w14:textId="77777777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>Za odejściem od silników spalinowych przemawia ich niska efektywność, wynosząca średnio 25 procent. Oznacza to, że jedynie niewielka część energii powstającej w wyniku spalania paliwa wykorzystywana jest do wprawienia pojazdu w ruch, zaś reszta ulatnia się m.in. w postaci ciepła wydostającego się z rury wydechowej. Pomimo wysiłków inżynierów najbardziej zaawansowane technologicznie silniki spalinowe osiągają jedynie 30 – 40 proc. efektywności. Tymczasem efektywność silników elektrycznych to ponad 85 proc.</w:t>
      </w:r>
    </w:p>
    <w:p w14:paraId="1C568FAA" w14:textId="77777777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i/>
          <w:iCs/>
          <w:szCs w:val="24"/>
        </w:rPr>
        <w:t>– Poza względami ekologicznymi to właśnie efektywność silników jest czynnikiem przemawiającym za zmianami w sposobie zasilania transportu. Na dłuższą metę ludzkość nie może pozwolić sobie na to, aby marnotrawić energię na taką skalę, jak dotychczas</w:t>
      </w:r>
      <w:r w:rsidRPr="00061368">
        <w:rPr>
          <w:rFonts w:asciiTheme="minorHAnsi" w:hAnsiTheme="minorHAnsi" w:cstheme="minorHAnsi"/>
          <w:szCs w:val="24"/>
        </w:rPr>
        <w:t xml:space="preserve"> – mówi Jacek Nowakowski, Wiceprezes Polskiej Platformy LNG i bio-LNG. </w:t>
      </w:r>
    </w:p>
    <w:p w14:paraId="3FD21C30" w14:textId="77777777" w:rsidR="00124B00" w:rsidRPr="00061368" w:rsidRDefault="00124B00" w:rsidP="00124B00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>W 2021 r. kierowcy wydali na zakup paliwa na stacjach benzynowych w Polsce 142 mld zł. Łącznie, po uwzględnieniu sprzedaży bezpośredniej do sektora przedsiębiorstw, podatki (VAT, akcyza, opłata paliwowa i opłata emisyjna) uiszczone przez branżę paliwową przekroczyły poziom 75 mld zł. Proces odchodzenia od paliw kopalnych oznacza, że konieczne będzie znalezienie innych źródeł dochodów budżetowych.</w:t>
      </w:r>
    </w:p>
    <w:p w14:paraId="0985D1E4" w14:textId="1C0257D0" w:rsidR="00124B00" w:rsidRPr="00061368" w:rsidRDefault="00124B00" w:rsidP="00061368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 xml:space="preserve">– </w:t>
      </w:r>
      <w:r w:rsidRPr="00061368">
        <w:rPr>
          <w:rFonts w:asciiTheme="minorHAnsi" w:hAnsiTheme="minorHAnsi" w:cstheme="minorHAnsi"/>
          <w:i/>
          <w:iCs/>
          <w:szCs w:val="24"/>
        </w:rPr>
        <w:t>Transformacja transportu będzie największym wyzwaniem, przed jakim stanie w najbliższych latach Polska. Ze względu na gigantyczne koszty niezwykle ważne jest, aby zmiany nie uderzały w najuboższą część społeczeństwa ani nie prowadziły do wykluczenia komunikacyjnego. Nie jest powiedziane, że zielony transport to tylko auta elektryczne. W Polsce musimy poszukiwać i stawiać na rozwiązania uwzględniające specyfikę naszego kraju i wykorzystujące maksymalnie nasze zasoby. Przykładem jest choćby zwiększenie udziału w miksie paliwowym nowoczesnych rodzajów biopaliw, na czym skorzysta także polskie rolnictwo</w:t>
      </w:r>
      <w:r w:rsidRPr="00061368">
        <w:rPr>
          <w:rFonts w:asciiTheme="minorHAnsi" w:hAnsiTheme="minorHAnsi" w:cstheme="minorHAnsi"/>
          <w:szCs w:val="24"/>
        </w:rPr>
        <w:t xml:space="preserve"> – mówi Tomasz Bęben, Dyrektor Zarządzający SDCM.</w:t>
      </w:r>
      <w:r w:rsidR="00061368">
        <w:rPr>
          <w:rFonts w:asciiTheme="minorHAnsi" w:hAnsiTheme="minorHAnsi" w:cstheme="minorHAnsi"/>
          <w:szCs w:val="24"/>
        </w:rPr>
        <w:t xml:space="preserve"> Dodaje on</w:t>
      </w:r>
      <w:r w:rsidRPr="00061368">
        <w:rPr>
          <w:rFonts w:asciiTheme="minorHAnsi" w:hAnsiTheme="minorHAnsi" w:cstheme="minorHAnsi"/>
          <w:szCs w:val="24"/>
        </w:rPr>
        <w:t>, że „zazielenienie transportu” nie będzie też możliwe bez przebudowy, a w zasadzie gigantycznej rozbudowy, systemu energetycznego w kierunku zwiększenia udziału energii ze źródeł odnawialnych. Zamiast pochodzącej obecnie głównie z importu energii z paliw kopalnych pojazdy nisko- i zeroemisyjne będą bowiem napędzane energią z OZE wyprodukowaną w Polsce.</w:t>
      </w:r>
    </w:p>
    <w:p w14:paraId="6DD1D1E5" w14:textId="77777777" w:rsidR="00124B00" w:rsidRPr="00061368" w:rsidRDefault="00124B00" w:rsidP="00124B00">
      <w:pPr>
        <w:spacing w:after="240" w:line="240" w:lineRule="auto"/>
        <w:jc w:val="center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>***************</w:t>
      </w:r>
    </w:p>
    <w:p w14:paraId="7ACBEC90" w14:textId="1FD3CBDF" w:rsidR="00FA7FA9" w:rsidRPr="00061368" w:rsidRDefault="00124B00" w:rsidP="00061368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061368">
        <w:rPr>
          <w:rFonts w:asciiTheme="minorHAnsi" w:hAnsiTheme="minorHAnsi" w:cstheme="minorHAnsi"/>
          <w:szCs w:val="24"/>
        </w:rPr>
        <w:t xml:space="preserve">Raport </w:t>
      </w:r>
      <w:hyperlink r:id="rId8" w:history="1">
        <w:r w:rsidRPr="006B4969">
          <w:rPr>
            <w:rStyle w:val="Hipercze"/>
            <w:rFonts w:asciiTheme="minorHAnsi" w:hAnsiTheme="minorHAnsi" w:cstheme="minorHAnsi"/>
            <w:szCs w:val="24"/>
          </w:rPr>
          <w:t>„Zielony transport. Stan obecny i perspektywy”</w:t>
        </w:r>
      </w:hyperlink>
      <w:r w:rsidRPr="00061368">
        <w:rPr>
          <w:rFonts w:asciiTheme="minorHAnsi" w:hAnsiTheme="minorHAnsi" w:cstheme="minorHAnsi"/>
          <w:szCs w:val="24"/>
        </w:rPr>
        <w:t xml:space="preserve"> w wersji elektronicznej został udostępniony na stronie </w:t>
      </w:r>
      <w:hyperlink r:id="rId9" w:history="1">
        <w:r w:rsidRPr="00061368">
          <w:rPr>
            <w:rStyle w:val="Hipercze"/>
            <w:rFonts w:asciiTheme="minorHAnsi" w:hAnsiTheme="minorHAnsi" w:cstheme="minorHAnsi"/>
            <w:szCs w:val="24"/>
          </w:rPr>
          <w:t>www.popihn.pl</w:t>
        </w:r>
      </w:hyperlink>
      <w:r w:rsidRPr="00061368">
        <w:rPr>
          <w:rFonts w:asciiTheme="minorHAnsi" w:hAnsiTheme="minorHAnsi" w:cstheme="minorHAnsi"/>
          <w:szCs w:val="24"/>
        </w:rPr>
        <w:t xml:space="preserve"> w zakładce Raporty i Konferencje.</w:t>
      </w:r>
    </w:p>
    <w:sectPr w:rsidR="00FA7FA9" w:rsidRPr="00061368" w:rsidSect="00B3642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1274" w:bottom="709" w:left="1276" w:header="709" w:footer="5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2EFE" w14:textId="77777777" w:rsidR="0096236F" w:rsidRDefault="0096236F" w:rsidP="00B36421">
      <w:pPr>
        <w:spacing w:line="240" w:lineRule="auto"/>
      </w:pPr>
      <w:r>
        <w:separator/>
      </w:r>
    </w:p>
  </w:endnote>
  <w:endnote w:type="continuationSeparator" w:id="0">
    <w:p w14:paraId="1242BA10" w14:textId="77777777" w:rsidR="0096236F" w:rsidRDefault="0096236F" w:rsidP="00B36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E7C8" w14:textId="77777777" w:rsidR="00E242CD" w:rsidRDefault="00E966DE">
    <w:pPr>
      <w:pStyle w:val="Stopka"/>
      <w:jc w:val="right"/>
    </w:pPr>
  </w:p>
  <w:p w14:paraId="0EA29E41" w14:textId="77777777" w:rsidR="00D0590F" w:rsidRDefault="00E966DE" w:rsidP="007F5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9C2F" w14:textId="77777777" w:rsidR="004E592F" w:rsidRPr="008145B1" w:rsidRDefault="00E966DE" w:rsidP="00F97165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93C" w14:textId="269DC941" w:rsidR="00B36421" w:rsidRPr="008145B1" w:rsidRDefault="00D30638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  <w:lang w:val="pl-PL"/>
      </w:rPr>
    </w:pPr>
    <w:r>
      <w:rPr>
        <w:rFonts w:ascii="Cambria" w:eastAsia="Arial Unicode MS" w:hAnsi="Cambria" w:cs="Tahoma"/>
        <w:b/>
        <w:color w:val="000000"/>
        <w:sz w:val="16"/>
        <w:szCs w:val="16"/>
        <w:lang w:val="pl-PL"/>
      </w:rPr>
      <w:t>u</w:t>
    </w:r>
    <w:r w:rsidR="00B36421" w:rsidRPr="008145B1">
      <w:rPr>
        <w:rFonts w:ascii="Cambria" w:eastAsia="Arial Unicode MS" w:hAnsi="Cambria" w:cs="Tahoma"/>
        <w:b/>
        <w:color w:val="000000"/>
        <w:sz w:val="16"/>
        <w:szCs w:val="16"/>
        <w:lang w:val="pl-PL"/>
      </w:rPr>
      <w:t xml:space="preserve">L.Rejtana 17 LOK. 36 | 02-516 wARSZAWA | TEL/FAX: +48 22 848 3605, +48 22 848 4590  </w:t>
    </w:r>
  </w:p>
  <w:p w14:paraId="17BB3CE4" w14:textId="77777777" w:rsidR="00B36421" w:rsidRPr="00E97623" w:rsidRDefault="00B36421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</w:rPr>
    </w:pPr>
    <w:r w:rsidRPr="00E97623">
      <w:rPr>
        <w:rFonts w:ascii="Cambria" w:eastAsia="Arial Unicode MS" w:hAnsi="Cambria" w:cs="Tahoma"/>
        <w:b/>
        <w:color w:val="000000"/>
        <w:sz w:val="16"/>
        <w:szCs w:val="16"/>
      </w:rPr>
      <w:t>E</w:t>
    </w:r>
    <w:r w:rsidRPr="00E97623">
      <w:rPr>
        <w:rFonts w:ascii="Cambria" w:eastAsia="Arial Unicode MS" w:hAnsi="Cambria" w:cs="Tahoma"/>
        <w:b/>
        <w:caps w:val="0"/>
        <w:color w:val="000000"/>
        <w:sz w:val="16"/>
        <w:szCs w:val="16"/>
      </w:rPr>
      <w:t>-MAIL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: </w:t>
    </w:r>
    <w:r w:rsidRPr="00F778A0">
      <w:rPr>
        <w:rFonts w:eastAsia="Arial Unicode MS"/>
      </w:rPr>
      <w:t>popihn@popihn.pl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| </w:t>
    </w:r>
    <w:r w:rsidRPr="00F778A0">
      <w:rPr>
        <w:rFonts w:eastAsia="Arial Unicode MS"/>
      </w:rPr>
      <w:t>www.popihn.pl</w:t>
    </w:r>
  </w:p>
  <w:p w14:paraId="051BC7AE" w14:textId="77777777" w:rsidR="00B36421" w:rsidRPr="00D30638" w:rsidRDefault="00B36421" w:rsidP="00D30638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*AMIC POLSKA SP. z O.O.*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ANWIM S.A.* </w:t>
    </w: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bp Europa S.E. 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CIRCLE K Polska Sp. </w:t>
    </w:r>
    <w:r w:rsidRPr="00D30638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o.o.*fuchs oil corp. Sp z o.o.*</w:t>
    </w:r>
  </w:p>
  <w:p w14:paraId="374CFF42" w14:textId="0958DE7F" w:rsidR="00B36421" w:rsidRPr="00AC0A57" w:rsidRDefault="00B36421" w:rsidP="00D30638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AC0A5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*perN S.A. *PKN Orlen S.A. *shell Polska sp. </w:t>
    </w:r>
    <w:r w:rsidRPr="00D30638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o.o.**SLOVNAFT polska s.a.</w:t>
    </w:r>
    <w:r w:rsidR="000A6C23" w:rsidRPr="00D30638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 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Tanquid Polska Sp. z o.o. *</w:t>
    </w:r>
    <w:r w:rsidR="000A6C23" w:rsidRPr="000A6C23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TotalEnergies Marketing Polska sp. z o.o</w:t>
    </w:r>
    <w:r w:rsidRPr="008145B1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.</w:t>
    </w:r>
    <w:r w:rsidR="009F6EB9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*</w:t>
    </w:r>
    <w:r w:rsidR="009F6EB9" w:rsidRPr="009F6EB9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UNIMOT S.A.</w:t>
    </w:r>
  </w:p>
  <w:p w14:paraId="1FE94E9C" w14:textId="77777777" w:rsidR="00B36421" w:rsidRDefault="00B36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F685" w14:textId="77777777" w:rsidR="0096236F" w:rsidRDefault="0096236F" w:rsidP="00B36421">
      <w:pPr>
        <w:spacing w:line="240" w:lineRule="auto"/>
      </w:pPr>
      <w:r>
        <w:separator/>
      </w:r>
    </w:p>
  </w:footnote>
  <w:footnote w:type="continuationSeparator" w:id="0">
    <w:p w14:paraId="214779E2" w14:textId="77777777" w:rsidR="0096236F" w:rsidRDefault="0096236F" w:rsidP="00B36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10A7" w14:textId="77777777" w:rsidR="00A606B9" w:rsidRDefault="000D25B6" w:rsidP="00B6511D">
    <w:pPr>
      <w:pStyle w:val="Nagwek"/>
      <w:ind w:left="-142"/>
      <w:jc w:val="left"/>
      <w:rPr>
        <w:rFonts w:ascii="Cambria" w:hAnsi="Cambria"/>
        <w:b/>
        <w:color w:val="1F497D"/>
        <w:sz w:val="18"/>
        <w:szCs w:val="18"/>
        <w:lang w:val="pl-PL"/>
      </w:rPr>
    </w:pPr>
    <w:r>
      <w:rPr>
        <w:noProof/>
        <w:lang w:val="pl-PL"/>
      </w:rPr>
      <w:drawing>
        <wp:inline distT="0" distB="0" distL="0" distR="0" wp14:anchorId="40324669" wp14:editId="63C401A9">
          <wp:extent cx="2795270" cy="638169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4B83" w14:textId="658AB619" w:rsidR="00B36421" w:rsidRDefault="000D25B6" w:rsidP="000D25B6">
    <w:pPr>
      <w:pStyle w:val="Nagwek"/>
      <w:tabs>
        <w:tab w:val="left" w:pos="5460"/>
      </w:tabs>
    </w:pPr>
    <w:r>
      <w:rPr>
        <w:noProof/>
        <w:lang w:val="pl-PL"/>
      </w:rPr>
      <w:drawing>
        <wp:inline distT="0" distB="0" distL="0" distR="0" wp14:anchorId="7180903A" wp14:editId="6C29E71F">
          <wp:extent cx="2795270" cy="638169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421">
      <w:tab/>
    </w:r>
    <w:r>
      <w:t xml:space="preserve">                                </w:t>
    </w:r>
    <w:r>
      <w:rPr>
        <w:noProof/>
        <w:lang w:val="pl-PL"/>
      </w:rPr>
      <w:t xml:space="preserve">   </w:t>
    </w:r>
    <w:r w:rsidR="00B3642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449"/>
    <w:multiLevelType w:val="singleLevel"/>
    <w:tmpl w:val="D540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5BC840E5"/>
    <w:multiLevelType w:val="hybridMultilevel"/>
    <w:tmpl w:val="487E9348"/>
    <w:lvl w:ilvl="0" w:tplc="A59E4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175686">
    <w:abstractNumId w:val="1"/>
  </w:num>
  <w:num w:numId="2" w16cid:durableId="2369405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21"/>
    <w:rsid w:val="0003033A"/>
    <w:rsid w:val="00061368"/>
    <w:rsid w:val="000A6C23"/>
    <w:rsid w:val="000D25B6"/>
    <w:rsid w:val="00124B00"/>
    <w:rsid w:val="00172592"/>
    <w:rsid w:val="001B43AB"/>
    <w:rsid w:val="002E3821"/>
    <w:rsid w:val="0030440F"/>
    <w:rsid w:val="003354DF"/>
    <w:rsid w:val="00365051"/>
    <w:rsid w:val="003A558C"/>
    <w:rsid w:val="003B2420"/>
    <w:rsid w:val="003B7A79"/>
    <w:rsid w:val="005D0690"/>
    <w:rsid w:val="00656133"/>
    <w:rsid w:val="006B4969"/>
    <w:rsid w:val="007D0705"/>
    <w:rsid w:val="00800F69"/>
    <w:rsid w:val="00804A99"/>
    <w:rsid w:val="008442EB"/>
    <w:rsid w:val="00870E77"/>
    <w:rsid w:val="008F5FF8"/>
    <w:rsid w:val="0093417C"/>
    <w:rsid w:val="0096236F"/>
    <w:rsid w:val="009D386F"/>
    <w:rsid w:val="009F6EB9"/>
    <w:rsid w:val="00A226FC"/>
    <w:rsid w:val="00AB6124"/>
    <w:rsid w:val="00AC0A57"/>
    <w:rsid w:val="00AF62A5"/>
    <w:rsid w:val="00B36421"/>
    <w:rsid w:val="00C3083A"/>
    <w:rsid w:val="00C42EB1"/>
    <w:rsid w:val="00CE4885"/>
    <w:rsid w:val="00D30638"/>
    <w:rsid w:val="00D459DB"/>
    <w:rsid w:val="00D538F1"/>
    <w:rsid w:val="00D90F94"/>
    <w:rsid w:val="00E966DE"/>
    <w:rsid w:val="00F36445"/>
    <w:rsid w:val="00F818C4"/>
    <w:rsid w:val="00FA7FA9"/>
    <w:rsid w:val="00FC7B2E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BF15E"/>
  <w15:docId w15:val="{E987C922-0DA5-47E5-90DE-EDB8B59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2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2EB"/>
    <w:pPr>
      <w:keepNext/>
      <w:jc w:val="center"/>
      <w:outlineLvl w:val="0"/>
    </w:pPr>
    <w:rPr>
      <w:rFonts w:ascii="Bookman Old Style" w:hAnsi="Bookman Old Style"/>
      <w:i/>
      <w:sz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5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turnAddress">
    <w:name w:val="Return Address"/>
    <w:rsid w:val="00B3642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B36421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B36421"/>
    <w:rPr>
      <w:rFonts w:ascii="Garamond" w:eastAsia="Times New Roman" w:hAnsi="Garamond" w:cs="Times New Roman"/>
      <w:kern w:val="18"/>
      <w:sz w:val="24"/>
      <w:szCs w:val="20"/>
      <w:lang w:val="en-AU" w:eastAsia="pl-PL"/>
    </w:rPr>
  </w:style>
  <w:style w:type="paragraph" w:styleId="Stopka">
    <w:name w:val="footer"/>
    <w:basedOn w:val="Normalny"/>
    <w:link w:val="StopkaZnak"/>
    <w:uiPriority w:val="99"/>
    <w:rsid w:val="00B3642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421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4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4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1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3417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temat2">
    <w:name w:val="temat2"/>
    <w:basedOn w:val="Domylnaczcionkaakapitu"/>
    <w:rsid w:val="0093417C"/>
  </w:style>
  <w:style w:type="character" w:customStyle="1" w:styleId="Nagwek1Znak">
    <w:name w:val="Nagłówek 1 Znak"/>
    <w:basedOn w:val="Domylnaczcionkaakapitu"/>
    <w:link w:val="Nagwek1"/>
    <w:rsid w:val="008442EB"/>
    <w:rPr>
      <w:rFonts w:ascii="Bookman Old Style" w:eastAsia="Times New Roman" w:hAnsi="Bookman Old Style" w:cs="Times New Roman"/>
      <w:i/>
      <w:sz w:val="44"/>
      <w:szCs w:val="20"/>
      <w:lang w:eastAsia="pl-PL"/>
    </w:rPr>
  </w:style>
  <w:style w:type="paragraph" w:styleId="Akapitzlist">
    <w:name w:val="List Paragraph"/>
    <w:basedOn w:val="Normalny"/>
    <w:qFormat/>
    <w:rsid w:val="0084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50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5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D06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69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B4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hn.pl/raporty-i-konferencj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pihn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EE02-9404-40BB-904D-09382BCD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POPiHN POPiHN</dc:creator>
  <cp:lastModifiedBy>Joanna Lewandowska</cp:lastModifiedBy>
  <cp:revision>2</cp:revision>
  <cp:lastPrinted>2021-02-11T13:35:00Z</cp:lastPrinted>
  <dcterms:created xsi:type="dcterms:W3CDTF">2022-11-30T09:31:00Z</dcterms:created>
  <dcterms:modified xsi:type="dcterms:W3CDTF">2022-11-30T09:31:00Z</dcterms:modified>
</cp:coreProperties>
</file>